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C7657" w14:textId="72AFBFDE" w:rsidR="00D5693E" w:rsidRPr="00A80EA2" w:rsidRDefault="000C40DF" w:rsidP="00A80EA2">
      <w:pPr>
        <w:jc w:val="center"/>
        <w:rPr>
          <w:rFonts w:ascii="Times New Roman" w:hAnsi="Times New Roman" w:cs="Times New Roman"/>
          <w:b/>
          <w:bCs/>
          <w:sz w:val="24"/>
          <w:szCs w:val="24"/>
        </w:rPr>
      </w:pPr>
      <w:r w:rsidRPr="00A80EA2">
        <w:rPr>
          <w:rFonts w:ascii="Times New Roman" w:hAnsi="Times New Roman" w:cs="Times New Roman"/>
          <w:b/>
          <w:bCs/>
          <w:sz w:val="24"/>
          <w:szCs w:val="24"/>
        </w:rPr>
        <w:t>Заявление налогоплательщика об оспаривании уведомления по результатам камерального контроля</w:t>
      </w:r>
    </w:p>
    <w:p w14:paraId="44E13B56" w14:textId="77777777" w:rsidR="000C40DF" w:rsidRPr="00A80EA2" w:rsidRDefault="000C40DF" w:rsidP="00A80EA2">
      <w:pPr>
        <w:jc w:val="both"/>
        <w:rPr>
          <w:rFonts w:ascii="Times New Roman" w:hAnsi="Times New Roman" w:cs="Times New Roman"/>
          <w:sz w:val="24"/>
          <w:szCs w:val="24"/>
        </w:rPr>
      </w:pPr>
    </w:p>
    <w:p w14:paraId="2BA266D3" w14:textId="77777777" w:rsidR="00C94E49" w:rsidRDefault="00D04D48" w:rsidP="00C94E49">
      <w:pPr>
        <w:ind w:firstLine="720"/>
        <w:jc w:val="both"/>
        <w:rPr>
          <w:rFonts w:ascii="Times New Roman" w:hAnsi="Times New Roman" w:cs="Times New Roman"/>
          <w:sz w:val="24"/>
          <w:szCs w:val="24"/>
        </w:rPr>
      </w:pPr>
      <w:r w:rsidRPr="00A80EA2">
        <w:rPr>
          <w:rFonts w:ascii="Times New Roman" w:hAnsi="Times New Roman" w:cs="Times New Roman"/>
          <w:sz w:val="24"/>
          <w:szCs w:val="24"/>
        </w:rPr>
        <w:t xml:space="preserve">Т. обратилась в суд с заявлением к РГУ «УГД по Наурызбайскому району ДГД по городу Алматы» о признании незаконным уведомления об устранении нарушений по результатам камерального контроля, вынесенного в связи с реализацией ею недвижимого имущества – торгового комплекса. Решением Медеуского районного суда города Алматы от 27 мая 2020 года в удовлетворении заявления отказано. </w:t>
      </w:r>
    </w:p>
    <w:p w14:paraId="53917C58" w14:textId="77777777" w:rsidR="00C94E49" w:rsidRDefault="00D04D48" w:rsidP="00C94E49">
      <w:pPr>
        <w:ind w:firstLine="720"/>
        <w:jc w:val="both"/>
        <w:rPr>
          <w:rFonts w:ascii="Times New Roman" w:hAnsi="Times New Roman" w:cs="Times New Roman"/>
          <w:sz w:val="24"/>
          <w:szCs w:val="24"/>
        </w:rPr>
      </w:pPr>
      <w:r w:rsidRPr="00A80EA2">
        <w:rPr>
          <w:rFonts w:ascii="Times New Roman" w:hAnsi="Times New Roman" w:cs="Times New Roman"/>
          <w:sz w:val="24"/>
          <w:szCs w:val="24"/>
        </w:rPr>
        <w:t xml:space="preserve">Постановлением суда апелляционной инстанции Алматинского городского суда от 14 октября 2020 года решение суда отменено, вынесено новое решение об удовлетворении заявления. Постановлением суда кассационной инстанции от 31 марта 2021 года состоявшиеся по делу судебные акты отменены, производство по делу прекращено по следующим основаниям. </w:t>
      </w:r>
    </w:p>
    <w:p w14:paraId="5CA621E2" w14:textId="77777777" w:rsidR="00C94E49" w:rsidRDefault="00D04D48" w:rsidP="00C94E49">
      <w:pPr>
        <w:ind w:firstLine="720"/>
        <w:jc w:val="both"/>
        <w:rPr>
          <w:rFonts w:ascii="Times New Roman" w:hAnsi="Times New Roman" w:cs="Times New Roman"/>
          <w:sz w:val="24"/>
          <w:szCs w:val="24"/>
        </w:rPr>
      </w:pPr>
      <w:r w:rsidRPr="00A80EA2">
        <w:rPr>
          <w:rFonts w:ascii="Times New Roman" w:hAnsi="Times New Roman" w:cs="Times New Roman"/>
          <w:sz w:val="24"/>
          <w:szCs w:val="24"/>
        </w:rPr>
        <w:t xml:space="preserve">Согласно пункту 2 статьи 96 НК исполнением налогоплательщиком (налоговым агентом) уведомления об устранении нарушений, выявленных налоговыми органами по результатам камерального контроля, признается в случае несогласия с указанными в уведомлении нарушениями - представление налогоплательщиком пояснения по выявленным нарушениям на бумажном или электронном носителе в налоговый орган, направивший уведомление об устранении нарушений, выявленных налоговыми органами по результатам камерального контроля, за исключением случаев, предусмотренных пунктом 3 настоящей статьи. В данном случае Т., не соглашаясь с уведомлением, предоставила в налоговый орган возражение 6 мая 2019 года. </w:t>
      </w:r>
    </w:p>
    <w:p w14:paraId="724DA31C" w14:textId="77777777" w:rsidR="00C94E49" w:rsidRDefault="00D04D48" w:rsidP="00C94E49">
      <w:pPr>
        <w:ind w:firstLine="720"/>
        <w:jc w:val="both"/>
        <w:rPr>
          <w:rFonts w:ascii="Times New Roman" w:hAnsi="Times New Roman" w:cs="Times New Roman"/>
          <w:sz w:val="24"/>
          <w:szCs w:val="24"/>
        </w:rPr>
      </w:pPr>
      <w:r w:rsidRPr="00A80EA2">
        <w:rPr>
          <w:rFonts w:ascii="Times New Roman" w:hAnsi="Times New Roman" w:cs="Times New Roman"/>
          <w:sz w:val="24"/>
          <w:szCs w:val="24"/>
        </w:rPr>
        <w:t>В ответе на возражение Т. налоговый орган указал, что уведомление признано неисполненным, о чем в ее адрес направлено письмо. В соответствии с пунктом 2 статьи 65 Закона «О правовых актах» правовой акт индивидуального применения прекращает действие с момента исполнения его требований или содержащихся в нем поручений лицами, которым адресован данный правовой акт. Согласно пункту 19 НП «О судебной практике применения налогового законодательства», в связи с учетом части первой статьи 293 ГПК заявление налогоплательщика об оспаривании уведомления по результатам камерального контроля, исполненного им одним из</w:t>
      </w:r>
      <w:r w:rsidRPr="00A80EA2">
        <w:rPr>
          <w:rFonts w:ascii="Times New Roman" w:hAnsi="Times New Roman" w:cs="Times New Roman"/>
          <w:sz w:val="24"/>
          <w:szCs w:val="24"/>
          <w:lang w:val="kk-KZ"/>
        </w:rPr>
        <w:t xml:space="preserve"> </w:t>
      </w:r>
      <w:r w:rsidRPr="00A80EA2">
        <w:rPr>
          <w:rFonts w:ascii="Times New Roman" w:hAnsi="Times New Roman" w:cs="Times New Roman"/>
          <w:sz w:val="24"/>
          <w:szCs w:val="24"/>
        </w:rPr>
        <w:t xml:space="preserve">указанных выше способов, не подлежит рассмотрению и разрешению в порядке гражданского судопроизводства. </w:t>
      </w:r>
    </w:p>
    <w:p w14:paraId="2B40578E" w14:textId="77777777" w:rsidR="00C94E49" w:rsidRDefault="00D04D48" w:rsidP="00C94E49">
      <w:pPr>
        <w:ind w:firstLine="720"/>
        <w:jc w:val="both"/>
        <w:rPr>
          <w:rFonts w:ascii="Times New Roman" w:hAnsi="Times New Roman" w:cs="Times New Roman"/>
          <w:sz w:val="24"/>
          <w:szCs w:val="24"/>
        </w:rPr>
      </w:pPr>
      <w:r w:rsidRPr="00A80EA2">
        <w:rPr>
          <w:rFonts w:ascii="Times New Roman" w:hAnsi="Times New Roman" w:cs="Times New Roman"/>
          <w:sz w:val="24"/>
          <w:szCs w:val="24"/>
        </w:rPr>
        <w:t xml:space="preserve">Судья отказывает в принятии такого заявления (подпункт 1) части первой статьи 151 ГПК), а в случае возбуждения гражданского дела суд прекращает производство по нему (подпункт 1) статьи 277 ГПК). </w:t>
      </w:r>
      <w:proofErr w:type="gramStart"/>
      <w:r w:rsidRPr="00A80EA2">
        <w:rPr>
          <w:rFonts w:ascii="Times New Roman" w:hAnsi="Times New Roman" w:cs="Times New Roman"/>
          <w:sz w:val="24"/>
          <w:szCs w:val="24"/>
        </w:rPr>
        <w:t>При указанных обстоятельствах,</w:t>
      </w:r>
      <w:proofErr w:type="gramEnd"/>
      <w:r w:rsidRPr="00A80EA2">
        <w:rPr>
          <w:rFonts w:ascii="Times New Roman" w:hAnsi="Times New Roman" w:cs="Times New Roman"/>
          <w:sz w:val="24"/>
          <w:szCs w:val="24"/>
        </w:rPr>
        <w:t xml:space="preserve"> местные суды неправильно применили и истолковали нормы материального права. Так как Т., предоставив возражение на уведомление по результатам камерального контроля, исполнила его, то ее заявление об оспаривании уведомления по результатам камерального контроля не подлежало рассмотрению и разрешению в порядке гражданского судопроизводства, и суду следовало прекратить производство по делу. </w:t>
      </w:r>
    </w:p>
    <w:p w14:paraId="25C46B7D" w14:textId="27776A93" w:rsidR="000C40DF" w:rsidRDefault="00D04D48" w:rsidP="00C94E49">
      <w:pPr>
        <w:ind w:firstLine="720"/>
        <w:jc w:val="both"/>
        <w:rPr>
          <w:rFonts w:ascii="Times New Roman" w:hAnsi="Times New Roman" w:cs="Times New Roman"/>
          <w:sz w:val="24"/>
          <w:szCs w:val="24"/>
        </w:rPr>
      </w:pPr>
      <w:r w:rsidRPr="00A80EA2">
        <w:rPr>
          <w:rFonts w:ascii="Times New Roman" w:hAnsi="Times New Roman" w:cs="Times New Roman"/>
          <w:sz w:val="24"/>
          <w:szCs w:val="24"/>
        </w:rPr>
        <w:t>Налогоплательщики в своих заявлениях указывают, что они отнесены к категории налогоплательщиков со средней степенью риска, следовательно, на основании указанной выше нормы НК орган государственных доходов в их отношении должен оформить извещение, а не уведомление.</w:t>
      </w:r>
    </w:p>
    <w:p w14:paraId="2D90BC2E" w14:textId="77777777" w:rsidR="00C94E49" w:rsidRDefault="00C94E49" w:rsidP="00C94E49">
      <w:pPr>
        <w:ind w:firstLine="360"/>
        <w:rPr>
          <w:rFonts w:ascii="Times New Roman" w:hAnsi="Times New Roman" w:cs="Times New Roman"/>
          <w:sz w:val="24"/>
          <w:szCs w:val="24"/>
        </w:rPr>
      </w:pPr>
      <w:r w:rsidRPr="00BF309C">
        <w:rPr>
          <w:rFonts w:ascii="Times New Roman" w:hAnsi="Times New Roman" w:cs="Times New Roman"/>
          <w:sz w:val="24"/>
          <w:szCs w:val="24"/>
        </w:rPr>
        <w:lastRenderedPageBreak/>
        <w:t>#</w:t>
      </w:r>
      <w:hyperlink r:id="rId7" w:history="1">
        <w:r w:rsidRPr="00FC62B7">
          <w:rPr>
            <w:rStyle w:val="a8"/>
          </w:rPr>
          <w:t>Адвокат</w:t>
        </w:r>
      </w:hyperlink>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Юрист </w:t>
      </w:r>
      <w:r w:rsidRPr="00BF309C">
        <w:rPr>
          <w:rFonts w:ascii="Times New Roman" w:hAnsi="Times New Roman" w:cs="Times New Roman"/>
          <w:sz w:val="24"/>
          <w:szCs w:val="24"/>
        </w:rPr>
        <w:t>#</w:t>
      </w:r>
      <w:r>
        <w:rPr>
          <w:rFonts w:ascii="Times New Roman" w:hAnsi="Times New Roman" w:cs="Times New Roman"/>
          <w:sz w:val="24"/>
          <w:szCs w:val="24"/>
        </w:rPr>
        <w:t xml:space="preserve">Юридическая услуга </w:t>
      </w:r>
      <w:r w:rsidRPr="00BF309C">
        <w:rPr>
          <w:rFonts w:ascii="Times New Roman" w:hAnsi="Times New Roman" w:cs="Times New Roman"/>
          <w:sz w:val="24"/>
          <w:szCs w:val="24"/>
        </w:rPr>
        <w:t>#</w:t>
      </w:r>
      <w:r>
        <w:rPr>
          <w:rFonts w:ascii="Times New Roman" w:hAnsi="Times New Roman" w:cs="Times New Roman"/>
          <w:sz w:val="24"/>
          <w:szCs w:val="24"/>
        </w:rPr>
        <w:t xml:space="preserve">Защита Компания </w:t>
      </w:r>
      <w:r w:rsidRPr="00BF309C">
        <w:rPr>
          <w:rFonts w:ascii="Times New Roman" w:hAnsi="Times New Roman" w:cs="Times New Roman"/>
          <w:sz w:val="24"/>
          <w:szCs w:val="24"/>
        </w:rPr>
        <w:t>#</w:t>
      </w:r>
      <w:hyperlink r:id="rId8" w:history="1">
        <w:r w:rsidRPr="005C1D26">
          <w:rPr>
            <w:rStyle w:val="a8"/>
          </w:rPr>
          <w:t>Адвокатская контора</w:t>
        </w:r>
      </w:hyperlink>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Гражданские </w:t>
      </w:r>
      <w:r w:rsidRPr="00BF309C">
        <w:rPr>
          <w:rFonts w:ascii="Times New Roman" w:hAnsi="Times New Roman" w:cs="Times New Roman"/>
          <w:sz w:val="24"/>
          <w:szCs w:val="24"/>
        </w:rPr>
        <w:t>#</w:t>
      </w:r>
      <w:r>
        <w:rPr>
          <w:rFonts w:ascii="Times New Roman" w:hAnsi="Times New Roman" w:cs="Times New Roman"/>
          <w:sz w:val="24"/>
          <w:szCs w:val="24"/>
        </w:rPr>
        <w:t xml:space="preserve">Уголовные </w:t>
      </w:r>
      <w:r w:rsidRPr="00BF309C">
        <w:rPr>
          <w:rFonts w:ascii="Times New Roman" w:hAnsi="Times New Roman" w:cs="Times New Roman"/>
          <w:sz w:val="24"/>
          <w:szCs w:val="24"/>
        </w:rPr>
        <w:t>#</w:t>
      </w:r>
      <w:r>
        <w:rPr>
          <w:rFonts w:ascii="Times New Roman" w:hAnsi="Times New Roman" w:cs="Times New Roman"/>
          <w:sz w:val="24"/>
          <w:szCs w:val="24"/>
        </w:rPr>
        <w:t xml:space="preserve">Административные </w:t>
      </w:r>
      <w:r w:rsidRPr="00BF309C">
        <w:rPr>
          <w:rFonts w:ascii="Times New Roman" w:hAnsi="Times New Roman" w:cs="Times New Roman"/>
          <w:sz w:val="24"/>
          <w:szCs w:val="24"/>
        </w:rPr>
        <w:t>#</w:t>
      </w:r>
      <w:r>
        <w:rPr>
          <w:rFonts w:ascii="Times New Roman" w:hAnsi="Times New Roman" w:cs="Times New Roman"/>
          <w:sz w:val="24"/>
          <w:szCs w:val="24"/>
        </w:rPr>
        <w:t xml:space="preserve">Арбитражные дела споры </w:t>
      </w:r>
      <w:r w:rsidRPr="00BF309C">
        <w:rPr>
          <w:rFonts w:ascii="Times New Roman" w:hAnsi="Times New Roman" w:cs="Times New Roman"/>
          <w:sz w:val="24"/>
          <w:szCs w:val="24"/>
        </w:rPr>
        <w:t>#</w:t>
      </w:r>
      <w:r>
        <w:rPr>
          <w:rFonts w:ascii="Times New Roman" w:hAnsi="Times New Roman" w:cs="Times New Roman"/>
          <w:sz w:val="24"/>
          <w:szCs w:val="24"/>
        </w:rPr>
        <w:t xml:space="preserve">Алматы </w:t>
      </w:r>
      <w:r w:rsidRPr="00BF309C">
        <w:rPr>
          <w:rFonts w:ascii="Times New Roman" w:hAnsi="Times New Roman" w:cs="Times New Roman"/>
          <w:sz w:val="24"/>
          <w:szCs w:val="24"/>
        </w:rPr>
        <w:t>#</w:t>
      </w:r>
      <w:r>
        <w:rPr>
          <w:rFonts w:ascii="Times New Roman" w:hAnsi="Times New Roman" w:cs="Times New Roman"/>
          <w:sz w:val="24"/>
          <w:szCs w:val="24"/>
        </w:rPr>
        <w:t xml:space="preserve">Казахстан </w:t>
      </w:r>
    </w:p>
    <w:p w14:paraId="6300B79C" w14:textId="77777777" w:rsidR="00C94E49" w:rsidRPr="00C94E49" w:rsidRDefault="00C94E49" w:rsidP="00C94E49">
      <w:pPr>
        <w:ind w:firstLine="720"/>
        <w:jc w:val="both"/>
        <w:rPr>
          <w:rFonts w:ascii="Times New Roman" w:hAnsi="Times New Roman" w:cs="Times New Roman"/>
          <w:sz w:val="24"/>
          <w:szCs w:val="24"/>
        </w:rPr>
      </w:pPr>
    </w:p>
    <w:sectPr w:rsidR="00C94E49" w:rsidRPr="00C94E49" w:rsidSect="00327D34">
      <w:headerReference w:type="default" r:id="rId9"/>
      <w:footerReference w:type="default" r:id="rId1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BF823" w14:textId="77777777" w:rsidR="00ED2B05" w:rsidRDefault="00ED2B05" w:rsidP="00702393">
      <w:pPr>
        <w:spacing w:after="0" w:line="240" w:lineRule="auto"/>
      </w:pPr>
      <w:r>
        <w:separator/>
      </w:r>
    </w:p>
  </w:endnote>
  <w:endnote w:type="continuationSeparator" w:id="0">
    <w:p w14:paraId="46B20190" w14:textId="77777777" w:rsidR="00ED2B05" w:rsidRDefault="00ED2B05"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E81A0" w14:textId="77777777" w:rsidR="00ED2B05" w:rsidRDefault="00ED2B05" w:rsidP="00702393">
      <w:pPr>
        <w:spacing w:after="0" w:line="240" w:lineRule="auto"/>
      </w:pPr>
      <w:r>
        <w:separator/>
      </w:r>
    </w:p>
  </w:footnote>
  <w:footnote w:type="continuationSeparator" w:id="0">
    <w:p w14:paraId="0B640383" w14:textId="77777777" w:rsidR="00ED2B05" w:rsidRDefault="00ED2B05"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1B7AACBA" w:rsidR="00702393" w:rsidRPr="00017580" w:rsidRDefault="00D11A8A" w:rsidP="00193E1B">
    <w:pPr>
      <w:pStyle w:val="a4"/>
      <w:jc w:val="both"/>
    </w:pPr>
    <w:r>
      <w:rPr>
        <w:noProof/>
      </w:rPr>
      <w:drawing>
        <wp:anchor distT="0" distB="0" distL="114300" distR="114300" simplePos="0" relativeHeight="251660288" behindDoc="1" locked="0" layoutInCell="1" allowOverlap="1" wp14:anchorId="0720D792" wp14:editId="44B78346">
          <wp:simplePos x="0" y="0"/>
          <wp:positionH relativeFrom="margin">
            <wp:posOffset>1361440</wp:posOffset>
          </wp:positionH>
          <wp:positionV relativeFrom="paragraph">
            <wp:posOffset>3300458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rPr>
      <w:drawing>
        <wp:anchor distT="0" distB="0" distL="114300" distR="114300" simplePos="0" relativeHeight="251658240" behindDoc="1" locked="0" layoutInCell="1" allowOverlap="1" wp14:anchorId="4CD40BCC" wp14:editId="6D9BFD19">
          <wp:simplePos x="0" y="0"/>
          <wp:positionH relativeFrom="margin">
            <wp:posOffset>4886325</wp:posOffset>
          </wp:positionH>
          <wp:positionV relativeFrom="paragraph">
            <wp:posOffset>854562</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5F07D3">
      <w:rPr>
        <w:noProof/>
        <w:lang w:eastAsia="ru-RU"/>
      </w:rPr>
      <w:drawing>
        <wp:inline distT="0" distB="0" distL="0" distR="0" wp14:anchorId="4C410DFF" wp14:editId="76C2D2D7">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B64B7"/>
    <w:multiLevelType w:val="hybridMultilevel"/>
    <w:tmpl w:val="3B708D74"/>
    <w:lvl w:ilvl="0" w:tplc="1000000F">
      <w:start w:val="1"/>
      <w:numFmt w:val="decimal"/>
      <w:lvlText w:val="%1."/>
      <w:lvlJc w:val="left"/>
      <w:pPr>
        <w:ind w:left="1069" w:hanging="360"/>
      </w:p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1" w15:restartNumberingAfterBreak="0">
    <w:nsid w:val="2C613707"/>
    <w:multiLevelType w:val="hybridMultilevel"/>
    <w:tmpl w:val="8B78119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2" w15:restartNumberingAfterBreak="0">
    <w:nsid w:val="5BC7289F"/>
    <w:multiLevelType w:val="hybridMultilevel"/>
    <w:tmpl w:val="D378388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3" w15:restartNumberingAfterBreak="0">
    <w:nsid w:val="62B62A71"/>
    <w:multiLevelType w:val="hybridMultilevel"/>
    <w:tmpl w:val="C05AD98A"/>
    <w:lvl w:ilvl="0" w:tplc="10000001">
      <w:start w:val="1"/>
      <w:numFmt w:val="bullet"/>
      <w:lvlText w:val=""/>
      <w:lvlJc w:val="left"/>
      <w:pPr>
        <w:ind w:left="1069" w:hanging="360"/>
      </w:pPr>
      <w:rPr>
        <w:rFonts w:ascii="Symbol" w:hAnsi="Symbo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56B3"/>
    <w:rsid w:val="00014D8B"/>
    <w:rsid w:val="00017580"/>
    <w:rsid w:val="00067545"/>
    <w:rsid w:val="000C40DF"/>
    <w:rsid w:val="00127F28"/>
    <w:rsid w:val="00152128"/>
    <w:rsid w:val="001539CF"/>
    <w:rsid w:val="00193E1B"/>
    <w:rsid w:val="001C5801"/>
    <w:rsid w:val="002570B0"/>
    <w:rsid w:val="0026734E"/>
    <w:rsid w:val="002A1A72"/>
    <w:rsid w:val="002B659E"/>
    <w:rsid w:val="00327D34"/>
    <w:rsid w:val="00327E86"/>
    <w:rsid w:val="00396063"/>
    <w:rsid w:val="003C77EA"/>
    <w:rsid w:val="003E3623"/>
    <w:rsid w:val="00442855"/>
    <w:rsid w:val="004F22C8"/>
    <w:rsid w:val="00577C42"/>
    <w:rsid w:val="005B4DC1"/>
    <w:rsid w:val="005F07D3"/>
    <w:rsid w:val="00675D72"/>
    <w:rsid w:val="006B0A4D"/>
    <w:rsid w:val="006E2D0A"/>
    <w:rsid w:val="00702393"/>
    <w:rsid w:val="00722D19"/>
    <w:rsid w:val="008A7236"/>
    <w:rsid w:val="008E7DF6"/>
    <w:rsid w:val="008F4E8E"/>
    <w:rsid w:val="0091354D"/>
    <w:rsid w:val="0094655E"/>
    <w:rsid w:val="009E6904"/>
    <w:rsid w:val="00A23573"/>
    <w:rsid w:val="00A45B15"/>
    <w:rsid w:val="00A80EA2"/>
    <w:rsid w:val="00AE3915"/>
    <w:rsid w:val="00B31BDB"/>
    <w:rsid w:val="00BD7730"/>
    <w:rsid w:val="00C16D9C"/>
    <w:rsid w:val="00C94E49"/>
    <w:rsid w:val="00CB275A"/>
    <w:rsid w:val="00CF5BD5"/>
    <w:rsid w:val="00D02DFB"/>
    <w:rsid w:val="00D04D48"/>
    <w:rsid w:val="00D11A8A"/>
    <w:rsid w:val="00D5693E"/>
    <w:rsid w:val="00D63BC1"/>
    <w:rsid w:val="00DB660C"/>
    <w:rsid w:val="00E52ABC"/>
    <w:rsid w:val="00ED2B05"/>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734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customStyle="1" w:styleId="s1">
    <w:name w:val="s1"/>
    <w:basedOn w:val="a0"/>
    <w:rsid w:val="00577C42"/>
  </w:style>
  <w:style w:type="character" w:customStyle="1" w:styleId="s0">
    <w:name w:val="s0"/>
    <w:basedOn w:val="a0"/>
    <w:rsid w:val="00577C42"/>
  </w:style>
  <w:style w:type="character" w:styleId="a8">
    <w:name w:val="Hyperlink"/>
    <w:uiPriority w:val="99"/>
    <w:unhideWhenUsed/>
    <w:rsid w:val="00577C42"/>
    <w:rPr>
      <w:rFonts w:ascii="Times New Roman" w:hAnsi="Times New Roman" w:cs="Times New Roman" w:hint="default"/>
      <w:b/>
      <w:bCs/>
      <w:i w:val="0"/>
      <w:iCs w:val="0"/>
      <w:color w:val="000080"/>
      <w:sz w:val="24"/>
      <w:szCs w:val="24"/>
      <w:u w:val="single"/>
    </w:rPr>
  </w:style>
  <w:style w:type="paragraph" w:styleId="a9">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a"/>
    <w:uiPriority w:val="99"/>
    <w:qFormat/>
    <w:rsid w:val="00577C42"/>
    <w:pPr>
      <w:spacing w:after="0" w:line="240" w:lineRule="auto"/>
    </w:pPr>
  </w:style>
  <w:style w:type="character" w:customStyle="1" w:styleId="aa">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9"/>
    <w:uiPriority w:val="99"/>
    <w:locked/>
    <w:rsid w:val="00577C42"/>
  </w:style>
  <w:style w:type="paragraph" w:styleId="ab">
    <w:name w:val="List Paragraph"/>
    <w:basedOn w:val="a"/>
    <w:uiPriority w:val="34"/>
    <w:qFormat/>
    <w:rsid w:val="00577C42"/>
    <w:pPr>
      <w:spacing w:after="200" w:line="276" w:lineRule="auto"/>
      <w:ind w:left="720"/>
      <w:contextualSpacing/>
    </w:pPr>
    <w:rPr>
      <w:rFonts w:eastAsiaTheme="minorEastAsia"/>
      <w:lang w:eastAsia="ru-RU"/>
    </w:rPr>
  </w:style>
  <w:style w:type="paragraph" w:customStyle="1" w:styleId="rtejustify">
    <w:name w:val="rtejustify"/>
    <w:basedOn w:val="a"/>
    <w:rsid w:val="00577C4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
    <w:uiPriority w:val="99"/>
    <w:semiHidden/>
    <w:unhideWhenUsed/>
    <w:rsid w:val="005F0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semiHidden/>
    <w:locked/>
    <w:rsid w:val="005F07D3"/>
    <w:rPr>
      <w:rFonts w:ascii="Times New Roman" w:eastAsia="Times New Roman" w:hAnsi="Times New Roman" w:cs="Times New Roman"/>
      <w:shd w:val="clear" w:color="auto" w:fill="FFFFFF"/>
    </w:rPr>
  </w:style>
  <w:style w:type="paragraph" w:customStyle="1" w:styleId="20">
    <w:name w:val="Основной текст (2)"/>
    <w:basedOn w:val="a"/>
    <w:link w:val="2"/>
    <w:semiHidden/>
    <w:qFormat/>
    <w:rsid w:val="005F07D3"/>
    <w:pPr>
      <w:widowControl w:val="0"/>
      <w:shd w:val="clear" w:color="auto" w:fill="FFFFFF"/>
      <w:spacing w:after="240" w:line="274" w:lineRule="exact"/>
    </w:pPr>
    <w:rPr>
      <w:rFonts w:ascii="Times New Roman" w:eastAsia="Times New Roman" w:hAnsi="Times New Roman" w:cs="Times New Roman"/>
    </w:rPr>
  </w:style>
  <w:style w:type="character" w:styleId="ad">
    <w:name w:val="Strong"/>
    <w:basedOn w:val="a0"/>
    <w:uiPriority w:val="22"/>
    <w:qFormat/>
    <w:rsid w:val="005F07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9415230">
      <w:bodyDiv w:val="1"/>
      <w:marLeft w:val="0"/>
      <w:marRight w:val="0"/>
      <w:marTop w:val="0"/>
      <w:marBottom w:val="0"/>
      <w:divBdr>
        <w:top w:val="none" w:sz="0" w:space="0" w:color="auto"/>
        <w:left w:val="none" w:sz="0" w:space="0" w:color="auto"/>
        <w:bottom w:val="none" w:sz="0" w:space="0" w:color="auto"/>
        <w:right w:val="none" w:sz="0" w:space="0" w:color="auto"/>
      </w:divBdr>
    </w:div>
    <w:div w:id="1424110404">
      <w:bodyDiv w:val="1"/>
      <w:marLeft w:val="0"/>
      <w:marRight w:val="0"/>
      <w:marTop w:val="0"/>
      <w:marBottom w:val="0"/>
      <w:divBdr>
        <w:top w:val="none" w:sz="0" w:space="0" w:color="auto"/>
        <w:left w:val="none" w:sz="0" w:space="0" w:color="auto"/>
        <w:bottom w:val="none" w:sz="0" w:space="0" w:color="auto"/>
        <w:right w:val="none" w:sz="0" w:space="0" w:color="auto"/>
      </w:divBdr>
    </w:div>
    <w:div w:id="1435395458">
      <w:bodyDiv w:val="1"/>
      <w:marLeft w:val="0"/>
      <w:marRight w:val="0"/>
      <w:marTop w:val="0"/>
      <w:marBottom w:val="0"/>
      <w:divBdr>
        <w:top w:val="none" w:sz="0" w:space="0" w:color="auto"/>
        <w:left w:val="none" w:sz="0" w:space="0" w:color="auto"/>
        <w:bottom w:val="none" w:sz="0" w:space="0" w:color="auto"/>
        <w:right w:val="none" w:sz="0" w:space="0" w:color="auto"/>
      </w:divBdr>
    </w:div>
    <w:div w:id="1505825503">
      <w:bodyDiv w:val="1"/>
      <w:marLeft w:val="0"/>
      <w:marRight w:val="0"/>
      <w:marTop w:val="0"/>
      <w:marBottom w:val="0"/>
      <w:divBdr>
        <w:top w:val="none" w:sz="0" w:space="0" w:color="auto"/>
        <w:left w:val="none" w:sz="0" w:space="0" w:color="auto"/>
        <w:bottom w:val="none" w:sz="0" w:space="0" w:color="auto"/>
        <w:right w:val="none" w:sz="0" w:space="0" w:color="auto"/>
      </w:divBdr>
    </w:div>
    <w:div w:id="21252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publikacii/" TargetMode="External"/><Relationship Id="rId3" Type="http://schemas.openxmlformats.org/officeDocument/2006/relationships/settings" Target="settings.xml"/><Relationship Id="rId7" Type="http://schemas.openxmlformats.org/officeDocument/2006/relationships/hyperlink" Target="https://www.instagram.com/zakonpravo.kz/?h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2</Pages>
  <Words>501</Words>
  <Characters>2861</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41</cp:revision>
  <cp:lastPrinted>2021-08-17T09:15:00Z</cp:lastPrinted>
  <dcterms:created xsi:type="dcterms:W3CDTF">2021-08-13T09:00:00Z</dcterms:created>
  <dcterms:modified xsi:type="dcterms:W3CDTF">2022-01-04T16:05:00Z</dcterms:modified>
</cp:coreProperties>
</file>