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5EFBC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0FF3278C" w14:textId="77777777" w:rsidR="00AC7CDD" w:rsidRPr="008968F7" w:rsidRDefault="00AC7CDD" w:rsidP="00317F20">
      <w:pPr>
        <w:pStyle w:val="ac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305463C3" w14:textId="3FD287C1" w:rsidR="00D470A2" w:rsidRPr="008968F7" w:rsidRDefault="00D470A2" w:rsidP="00D470A2">
      <w:pPr>
        <w:pStyle w:val="ac"/>
        <w:ind w:left="5664"/>
        <w:rPr>
          <w:rFonts w:ascii="Times New Roman" w:hAnsi="Times New Roman" w:cs="Times New Roman"/>
          <w:b/>
          <w:sz w:val="28"/>
          <w:szCs w:val="28"/>
        </w:rPr>
      </w:pPr>
      <w:r w:rsidRPr="008968F7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В Специализированный межрайонный суд по делам несовершеннолетних Алматинской области.  </w:t>
      </w:r>
    </w:p>
    <w:p w14:paraId="3083EE08" w14:textId="77777777" w:rsidR="00D470A2" w:rsidRPr="008968F7" w:rsidRDefault="00D470A2" w:rsidP="00D470A2">
      <w:pPr>
        <w:pStyle w:val="ac"/>
        <w:ind w:left="5664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  <w:lang w:bidi="ru-RU"/>
        </w:rPr>
        <w:t xml:space="preserve">  </w:t>
      </w:r>
    </w:p>
    <w:p w14:paraId="504F799A" w14:textId="358A7814" w:rsidR="00D470A2" w:rsidRPr="008968F7" w:rsidRDefault="00D470A2" w:rsidP="00D470A2">
      <w:pPr>
        <w:pStyle w:val="ac"/>
        <w:ind w:left="5664"/>
        <w:rPr>
          <w:rFonts w:ascii="Times New Roman" w:hAnsi="Times New Roman" w:cs="Times New Roman"/>
          <w:b/>
          <w:bCs/>
          <w:sz w:val="28"/>
          <w:szCs w:val="28"/>
        </w:rPr>
      </w:pPr>
      <w:r w:rsidRPr="008968F7">
        <w:rPr>
          <w:rFonts w:ascii="Times New Roman" w:hAnsi="Times New Roman" w:cs="Times New Roman"/>
          <w:b/>
          <w:bCs/>
          <w:sz w:val="28"/>
          <w:szCs w:val="28"/>
        </w:rPr>
        <w:t>от Истца: Н</w:t>
      </w:r>
      <w:r w:rsidR="00A446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68F7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968F7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A4465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3F8FAD7" w14:textId="5BD332CB" w:rsidR="00D470A2" w:rsidRPr="008968F7" w:rsidRDefault="00D470A2" w:rsidP="00D470A2">
      <w:pPr>
        <w:pStyle w:val="ac"/>
        <w:ind w:left="5664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ИИН 8</w:t>
      </w:r>
      <w:r w:rsidR="00A44657">
        <w:rPr>
          <w:rFonts w:ascii="Times New Roman" w:hAnsi="Times New Roman" w:cs="Times New Roman"/>
          <w:sz w:val="28"/>
          <w:szCs w:val="28"/>
        </w:rPr>
        <w:t>……</w:t>
      </w:r>
    </w:p>
    <w:p w14:paraId="51BBC12D" w14:textId="374A7493" w:rsidR="00D470A2" w:rsidRPr="008968F7" w:rsidRDefault="00D470A2" w:rsidP="00D470A2">
      <w:pPr>
        <w:pStyle w:val="ac"/>
        <w:ind w:left="5664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 xml:space="preserve">г. Алматы, Алатауский район, </w:t>
      </w:r>
      <w:proofErr w:type="spellStart"/>
      <w:r w:rsidRPr="008968F7">
        <w:rPr>
          <w:rFonts w:ascii="Times New Roman" w:hAnsi="Times New Roman" w:cs="Times New Roman"/>
          <w:sz w:val="28"/>
          <w:szCs w:val="28"/>
        </w:rPr>
        <w:t>мкр</w:t>
      </w:r>
      <w:proofErr w:type="spellEnd"/>
      <w:r w:rsidRPr="008968F7">
        <w:rPr>
          <w:rFonts w:ascii="Times New Roman" w:hAnsi="Times New Roman" w:cs="Times New Roman"/>
          <w:sz w:val="28"/>
          <w:szCs w:val="28"/>
        </w:rPr>
        <w:t>. Томирис, ул. К</w:t>
      </w:r>
      <w:r w:rsidR="00A44657">
        <w:rPr>
          <w:rFonts w:ascii="Times New Roman" w:hAnsi="Times New Roman" w:cs="Times New Roman"/>
          <w:sz w:val="28"/>
          <w:szCs w:val="28"/>
        </w:rPr>
        <w:t>..</w:t>
      </w:r>
      <w:r w:rsidRPr="008968F7">
        <w:rPr>
          <w:rFonts w:ascii="Times New Roman" w:hAnsi="Times New Roman" w:cs="Times New Roman"/>
          <w:sz w:val="28"/>
          <w:szCs w:val="28"/>
        </w:rPr>
        <w:t xml:space="preserve">, дом </w:t>
      </w:r>
      <w:r w:rsidR="00A44657">
        <w:rPr>
          <w:rFonts w:ascii="Times New Roman" w:hAnsi="Times New Roman" w:cs="Times New Roman"/>
          <w:sz w:val="28"/>
          <w:szCs w:val="28"/>
        </w:rPr>
        <w:t>…</w:t>
      </w:r>
      <w:r w:rsidRPr="008968F7">
        <w:rPr>
          <w:rFonts w:ascii="Times New Roman" w:hAnsi="Times New Roman" w:cs="Times New Roman"/>
          <w:sz w:val="28"/>
          <w:szCs w:val="28"/>
        </w:rPr>
        <w:t>.</w:t>
      </w:r>
    </w:p>
    <w:p w14:paraId="2AEEC898" w14:textId="77777777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2592429E" w14:textId="77777777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Адвокатская контора Закон и Право</w:t>
      </w:r>
    </w:p>
    <w:p w14:paraId="7712613D" w14:textId="77777777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БИН 201240021767 </w:t>
      </w:r>
    </w:p>
    <w:p w14:paraId="17296A0F" w14:textId="77777777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г. Алматы, пр. Абылай Хана, д. 79, офис 304.</w:t>
      </w:r>
    </w:p>
    <w:p w14:paraId="2AD66F88" w14:textId="77777777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>
        <w:r w:rsidRPr="008968F7">
          <w:rPr>
            <w:rStyle w:val="ae"/>
            <w:rFonts w:ascii="Times New Roman" w:hAnsi="Times New Roman" w:cs="Times New Roman"/>
            <w:sz w:val="28"/>
            <w:szCs w:val="28"/>
          </w:rPr>
          <w:t>info@zakonpravo.kz</w:t>
        </w:r>
      </w:hyperlink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6">
        <w:r w:rsidRPr="008968F7">
          <w:rPr>
            <w:rStyle w:val="ae"/>
            <w:rFonts w:ascii="Times New Roman" w:hAnsi="Times New Roman" w:cs="Times New Roman"/>
            <w:sz w:val="28"/>
            <w:szCs w:val="28"/>
          </w:rPr>
          <w:t>www.zakonpravo.kz</w:t>
        </w:r>
      </w:hyperlink>
    </w:p>
    <w:p w14:paraId="7F818314" w14:textId="77777777" w:rsidR="00D470A2" w:rsidRPr="008968F7" w:rsidRDefault="00D470A2" w:rsidP="00D470A2">
      <w:pPr>
        <w:pStyle w:val="ac"/>
        <w:ind w:left="495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+ 7 727 971 78 58; +7 708 971 78 58.</w:t>
      </w:r>
    </w:p>
    <w:p w14:paraId="268E8BD4" w14:textId="77777777" w:rsidR="00D470A2" w:rsidRPr="008968F7" w:rsidRDefault="00D470A2" w:rsidP="00D470A2">
      <w:pPr>
        <w:pStyle w:val="ac"/>
        <w:ind w:left="4951"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5971DB4" w14:textId="3F868EAF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Ответчик:</w:t>
      </w: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68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="00A44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968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</w:t>
      </w:r>
      <w:r w:rsidR="00A44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8968F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</w:t>
      </w:r>
      <w:r w:rsidR="00A4465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515B6C7D" w14:textId="7BF19B5B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ИИН </w:t>
      </w:r>
      <w:r w:rsidR="00A44657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</w:p>
    <w:p w14:paraId="3B5DD90B" w14:textId="110DA6E8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Алматинская область, Илийский район, </w:t>
      </w:r>
      <w:proofErr w:type="spellStart"/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с.Б</w:t>
      </w:r>
      <w:proofErr w:type="spellEnd"/>
      <w:r w:rsidR="00A44657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, ул. Д.К</w:t>
      </w:r>
      <w:r w:rsidR="00A44657">
        <w:rPr>
          <w:rFonts w:ascii="Times New Roman" w:hAnsi="Times New Roman" w:cs="Times New Roman"/>
          <w:color w:val="000000" w:themeColor="text1"/>
          <w:sz w:val="28"/>
          <w:szCs w:val="28"/>
        </w:rPr>
        <w:t>..</w:t>
      </w: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, д. 68.</w:t>
      </w:r>
    </w:p>
    <w:p w14:paraId="1A5C4879" w14:textId="5D89C90E" w:rsidR="00D470A2" w:rsidRPr="008968F7" w:rsidRDefault="00D470A2" w:rsidP="00D470A2">
      <w:pPr>
        <w:pStyle w:val="ac"/>
        <w:ind w:left="565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+7 771 </w:t>
      </w:r>
      <w:r w:rsidR="00A44657">
        <w:rPr>
          <w:rFonts w:ascii="Times New Roman" w:hAnsi="Times New Roman" w:cs="Times New Roman"/>
          <w:color w:val="000000" w:themeColor="text1"/>
          <w:sz w:val="28"/>
          <w:szCs w:val="28"/>
        </w:rPr>
        <w:t>…..</w:t>
      </w:r>
      <w:r w:rsidRPr="008968F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1551CC0" w14:textId="77777777" w:rsidR="00D470A2" w:rsidRPr="008968F7" w:rsidRDefault="00D470A2" w:rsidP="00D470A2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93CE6F1" w14:textId="77777777" w:rsidR="00D470A2" w:rsidRPr="008968F7" w:rsidRDefault="00D470A2" w:rsidP="00D470A2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8F7">
        <w:rPr>
          <w:rFonts w:ascii="Times New Roman" w:hAnsi="Times New Roman" w:cs="Times New Roman"/>
          <w:b/>
          <w:sz w:val="28"/>
          <w:szCs w:val="28"/>
        </w:rPr>
        <w:t>ИСК</w:t>
      </w:r>
    </w:p>
    <w:p w14:paraId="50746253" w14:textId="77777777" w:rsidR="00D470A2" w:rsidRPr="008968F7" w:rsidRDefault="00D470A2" w:rsidP="00D470A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о взыскании алиментов в твердой денежной сумме</w:t>
      </w:r>
    </w:p>
    <w:p w14:paraId="1BECDB87" w14:textId="77777777" w:rsidR="00D470A2" w:rsidRPr="008968F7" w:rsidRDefault="00D470A2" w:rsidP="00D470A2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ab/>
      </w:r>
    </w:p>
    <w:p w14:paraId="68AE878F" w14:textId="7280D500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 xml:space="preserve">12 февраля 2020 года судом </w:t>
      </w:r>
      <w:proofErr w:type="spellStart"/>
      <w:r w:rsidRPr="008968F7">
        <w:rPr>
          <w:rFonts w:ascii="Times New Roman" w:hAnsi="Times New Roman" w:cs="Times New Roman"/>
          <w:sz w:val="28"/>
          <w:szCs w:val="28"/>
        </w:rPr>
        <w:t>Жетысусского</w:t>
      </w:r>
      <w:proofErr w:type="spellEnd"/>
      <w:r w:rsidRPr="008968F7">
        <w:rPr>
          <w:rFonts w:ascii="Times New Roman" w:hAnsi="Times New Roman" w:cs="Times New Roman"/>
          <w:sz w:val="28"/>
          <w:szCs w:val="28"/>
        </w:rPr>
        <w:t xml:space="preserve"> района г. Алматы под председательством судьи </w:t>
      </w:r>
      <w:proofErr w:type="spellStart"/>
      <w:r w:rsidRPr="008968F7">
        <w:rPr>
          <w:rFonts w:ascii="Times New Roman" w:hAnsi="Times New Roman" w:cs="Times New Roman"/>
          <w:sz w:val="28"/>
          <w:szCs w:val="28"/>
        </w:rPr>
        <w:t>Канатбаева</w:t>
      </w:r>
      <w:proofErr w:type="spellEnd"/>
      <w:r w:rsidRPr="008968F7">
        <w:rPr>
          <w:rFonts w:ascii="Times New Roman" w:hAnsi="Times New Roman" w:cs="Times New Roman"/>
          <w:sz w:val="28"/>
          <w:szCs w:val="28"/>
        </w:rPr>
        <w:t xml:space="preserve"> С. был вынесен судебный приказ, согласно которому с </w:t>
      </w:r>
      <w:proofErr w:type="spellStart"/>
      <w:r w:rsidRPr="008968F7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Д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К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(Далее - Ответчик) в пользу Н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М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(Далее - Истец) взысканы алименты на содержание несовершеннолетних детей: К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68F7">
        <w:rPr>
          <w:rFonts w:ascii="Times New Roman" w:hAnsi="Times New Roman" w:cs="Times New Roman"/>
          <w:sz w:val="28"/>
          <w:szCs w:val="28"/>
        </w:rPr>
        <w:t>Д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8968F7">
        <w:rPr>
          <w:rFonts w:ascii="Times New Roman" w:hAnsi="Times New Roman" w:cs="Times New Roman"/>
          <w:sz w:val="28"/>
          <w:szCs w:val="28"/>
        </w:rPr>
        <w:t>, 22 сентября 2006 года рождения и К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Д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, 8 июля 2009 года рождения в размере 1/3 части заработка и (или) иного дохода ежемесячно, начиная с 11 февраля 2020 года и до совершеннолетия.</w:t>
      </w:r>
    </w:p>
    <w:p w14:paraId="0A9357AA" w14:textId="49251D05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В рамках исполнительного производства с 2020 года алименты удерживались из официальной заработной платы Ответчика в ТОО «А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». На протяжении всех лет его доход по документам полностью совпадал с минимальной заработной платой — сперва 44 000, затем 60 000, 70 000, 85 000 тенге. Подобная «стабильность» уровня доходов при изменяющемся рынке труда и при высокой ответственности должности, которую фактически занимает Ответчик, не может быть объяснена иначе, кроме как намеренным занижением официальных выплат работодателем и сокрытием реальных доходов.</w:t>
      </w:r>
    </w:p>
    <w:p w14:paraId="5196B8A6" w14:textId="1CFC2449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В результате дети истца получали ничтожные суммы алиментов: по 6 534 тенге на каждого ребёнка ежемесячно, что заведомо не покрывает прожиточный минимум и не обеспечивает удовлетворение базовых потребностей ребёнка. После достижения старшей дочерью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совершеннолетия, удержание алиментов </w:t>
      </w:r>
      <w:r w:rsidRPr="008968F7">
        <w:rPr>
          <w:rFonts w:ascii="Times New Roman" w:hAnsi="Times New Roman" w:cs="Times New Roman"/>
          <w:sz w:val="28"/>
          <w:szCs w:val="28"/>
        </w:rPr>
        <w:lastRenderedPageBreak/>
        <w:t>производится в размере 1/4 части заработка — всего 18 651 тенге ежемесячно, что также не является суммой, способной обеспечить ребёнку достойное содержание.</w:t>
      </w:r>
    </w:p>
    <w:p w14:paraId="1E36925F" w14:textId="5DD4137B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Между тем истцу достоверно известно, что Ответчик фактически трудится на должности начальника службы безопасности холдинга, куда входит ТОО «А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». Учредитель компании Ш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Антонович, который также является учредителем крупного предприятия ТОО «Ш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». Ответчик сам как то сообщил истцу, что его реальная заработная плата составляет порядка 1 200 000 тенге, что полностью расходится с официальными сведениями. Его фактическое материальное положение подтверждается и иными обстоятельствами: Ответчик построил жилой дом по адресу Алматинская область, Илийский район, село Байсерке, ул. Д. К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, </w:t>
      </w:r>
      <w:r w:rsidR="00A44657">
        <w:rPr>
          <w:rFonts w:ascii="Times New Roman" w:hAnsi="Times New Roman" w:cs="Times New Roman"/>
          <w:sz w:val="28"/>
          <w:szCs w:val="28"/>
        </w:rPr>
        <w:t>..</w:t>
      </w:r>
      <w:r w:rsidRPr="008968F7">
        <w:rPr>
          <w:rFonts w:ascii="Times New Roman" w:hAnsi="Times New Roman" w:cs="Times New Roman"/>
          <w:sz w:val="28"/>
          <w:szCs w:val="28"/>
        </w:rPr>
        <w:t>. Построить аналогичный дом в короткие сроки на доходы в размере минимальной заработной платы объективно невозможно. Дополнительно у представителя имеются фото- и видеоматериалы, подтверждающие статус Ответчика в компании Шин-Лайн».</w:t>
      </w:r>
    </w:p>
    <w:p w14:paraId="2E9A06BA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Таким образом, Ответчик сознательно скрывает свои реальные доходы, обеспечивая себе высокий уровень жизни, в то время как его ребёнок получает алименты, которые по своему размеру скорее символичны, чем действительно направлены на обеспечение потребностей ребёнка. Это поведение нарушает ст. 66, 67 и 138 Кодекса о браке (супружестве) и семье, принцип равного участия родителей в содержании ребёнка, а также ставит ребёнка в заведомо неравные условия, что недопустимо ни с позиции закона, ни с позиции морали.</w:t>
      </w:r>
    </w:p>
    <w:p w14:paraId="6600DA98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Статья 141 Кодекса «о браке (супружестве) и семье» прямо предусматривает возможность взыскания алиментов в твёрдой денежной сумме, если взыскание в долевом отношении не обеспечивает интересов ребёнка, является затруднительным или лишено реальной эффективности — что полностью соответствует настоящему случаю. Удержание 1/4 от искусственно заниженного дохода уничтожает сам смысл алиментных обязательств и явно нарушает права ребёнка, гарантированные также ст. 27 Конвенции о правах ребёнка.</w:t>
      </w:r>
    </w:p>
    <w:p w14:paraId="49CEEEEE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>Учитывая изложенное, представитель истца считает, что справедливым, законным и необходимым является установление алиментов в твёрдой денежной сумме, соответствующей реальному уровню доходов Ответчика.</w:t>
      </w:r>
    </w:p>
    <w:p w14:paraId="22B10804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sz w:val="28"/>
          <w:szCs w:val="28"/>
        </w:rPr>
        <w:t xml:space="preserve">Согласно п.1 ст.113 Гражданский процессуальному кодексу РК (Далее - ГПК) по ходатайству стороны, в пользу которой состоялось решение, суд присуждает с другой стороны понесенные ею расходы по оплате помощи представителя (нескольких представителей), участвовавшего в процессе и не состоящего с этой стороной в трудовых отношениях, в размере фактически понесенных стороной расходов. </w:t>
      </w:r>
    </w:p>
    <w:p w14:paraId="7C8D35F9" w14:textId="77777777" w:rsidR="00D470A2" w:rsidRPr="008968F7" w:rsidRDefault="00D470A2" w:rsidP="00D470A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68F7">
        <w:rPr>
          <w:rFonts w:ascii="Times New Roman" w:hAnsi="Times New Roman" w:cs="Times New Roman"/>
          <w:sz w:val="28"/>
          <w:szCs w:val="28"/>
          <w:lang w:val="kk-KZ"/>
        </w:rPr>
        <w:t xml:space="preserve">Между Истцом и 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Адвокатской конторой Закон и Право</w:t>
      </w:r>
      <w:r w:rsidRPr="008968F7">
        <w:rPr>
          <w:rFonts w:ascii="Times New Roman" w:hAnsi="Times New Roman" w:cs="Times New Roman"/>
          <w:sz w:val="28"/>
          <w:szCs w:val="28"/>
          <w:lang w:val="kk-KZ"/>
        </w:rPr>
        <w:t xml:space="preserve"> был заключен договор №1110/25 от 11 октября 2025 года на оказание юридической помощи (далее – Договор), в соответствии с которым 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Адвокатская контора Закон и Право</w:t>
      </w:r>
      <w:r w:rsidRPr="008968F7">
        <w:rPr>
          <w:rFonts w:ascii="Times New Roman" w:hAnsi="Times New Roman" w:cs="Times New Roman"/>
          <w:sz w:val="28"/>
          <w:szCs w:val="28"/>
          <w:lang w:val="kk-KZ"/>
        </w:rPr>
        <w:t xml:space="preserve"> оказывает Истцу помощь по представлению интересов в суде первой инстанции по настоящему гражданскому делу, а 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Истец оплатила за юридическую помощь сумму в размере 400</w:t>
      </w:r>
      <w:r w:rsidRPr="008968F7">
        <w:rPr>
          <w:rFonts w:ascii="Times New Roman" w:hAnsi="Times New Roman" w:cs="Times New Roman"/>
          <w:sz w:val="28"/>
          <w:szCs w:val="28"/>
        </w:rPr>
        <w:t> 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000 тенге.</w:t>
      </w:r>
    </w:p>
    <w:p w14:paraId="505C9E52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8F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Как предусмотрено в Кодексе Республики Казахстан о налогах и других обязательных платежах в бюджет (Налоговый кодекс) статье 616. П. 4, «Освобождение от уплаты государственной пошлины в судах»</w:t>
      </w:r>
      <w:r w:rsidRPr="008968F7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 уплаты государственной пошлины в судах освобождаются истцы - по искам о взыскании </w:t>
      </w: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алиментов, соответственно в данных обстоятельствах дела Истец освобожден от уплату государственной пошлины в суд.</w:t>
      </w:r>
    </w:p>
    <w:p w14:paraId="0C329C37" w14:textId="77777777" w:rsidR="00D470A2" w:rsidRPr="008968F7" w:rsidRDefault="00D470A2" w:rsidP="00D470A2">
      <w:pPr>
        <w:pStyle w:val="ac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968F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основании вышеизложенного, руководствуясь ст. 141 Кодекса Республики Казахстан «О браке (супружестве) и семье» и ст. 140, 145-147 ГПК Республики Казахстан</w:t>
      </w:r>
      <w:r w:rsidRPr="008968F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</w:p>
    <w:p w14:paraId="0C9F9717" w14:textId="77777777" w:rsidR="00D470A2" w:rsidRPr="008968F7" w:rsidRDefault="00D470A2" w:rsidP="00D470A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ru-RU"/>
        </w:rPr>
      </w:pPr>
    </w:p>
    <w:p w14:paraId="61740E2B" w14:textId="77777777" w:rsidR="00D470A2" w:rsidRPr="008968F7" w:rsidRDefault="00D470A2" w:rsidP="00D470A2">
      <w:pPr>
        <w:spacing w:after="160" w:line="259" w:lineRule="auto"/>
        <w:ind w:firstLine="354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ПРОШУ СУД</w:t>
      </w:r>
      <w:r w:rsidRPr="008968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:</w:t>
      </w:r>
    </w:p>
    <w:p w14:paraId="3C506608" w14:textId="6A12C103" w:rsidR="00D470A2" w:rsidRPr="008968F7" w:rsidRDefault="00D470A2" w:rsidP="00D470A2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Взыскать с Ответчика </w:t>
      </w:r>
      <w:r w:rsidRPr="008968F7">
        <w:rPr>
          <w:rFonts w:ascii="Times New Roman" w:hAnsi="Times New Roman" w:cs="Times New Roman"/>
          <w:sz w:val="28"/>
          <w:szCs w:val="28"/>
        </w:rPr>
        <w:t>С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Д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>К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в пользу Истца Н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sz w:val="28"/>
          <w:szCs w:val="28"/>
        </w:rPr>
        <w:t xml:space="preserve"> М</w:t>
      </w:r>
      <w:r w:rsidR="00A44657">
        <w:rPr>
          <w:rFonts w:ascii="Times New Roman" w:hAnsi="Times New Roman" w:cs="Times New Roman"/>
          <w:sz w:val="28"/>
          <w:szCs w:val="28"/>
        </w:rPr>
        <w:t>.</w:t>
      </w: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алименты в виде твёрдой денежной сумме в размере 100 МРП ежемесячно</w:t>
      </w:r>
      <w:r w:rsidRPr="008968F7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;</w:t>
      </w:r>
    </w:p>
    <w:p w14:paraId="736715A6" w14:textId="27459E67" w:rsidR="00D470A2" w:rsidRPr="008968F7" w:rsidRDefault="00D470A2" w:rsidP="00D470A2">
      <w:pPr>
        <w:pStyle w:val="a7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</w:pP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Взыскать с Ответчика 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 xml:space="preserve"> в пользу Истца Н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A44657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968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968F7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  <w:t>представительские расходы в размере 400 000 тенге.</w:t>
      </w:r>
    </w:p>
    <w:p w14:paraId="54B66BDA" w14:textId="77777777" w:rsidR="00D470A2" w:rsidRPr="008968F7" w:rsidRDefault="00D470A2" w:rsidP="00D470A2">
      <w:pPr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</w:pPr>
    </w:p>
    <w:p w14:paraId="75546F6C" w14:textId="77777777" w:rsidR="00D470A2" w:rsidRPr="008968F7" w:rsidRDefault="00D470A2" w:rsidP="00D470A2">
      <w:pPr>
        <w:pStyle w:val="a7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43436B49" w14:textId="77777777" w:rsidR="00D470A2" w:rsidRPr="008968F7" w:rsidRDefault="00D470A2" w:rsidP="00D470A2">
      <w:pPr>
        <w:pStyle w:val="a7"/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0C779C79" w14:textId="77777777" w:rsidR="00D470A2" w:rsidRPr="008968F7" w:rsidRDefault="00D470A2" w:rsidP="00D470A2">
      <w:pPr>
        <w:pStyle w:val="a7"/>
        <w:spacing w:after="0" w:line="240" w:lineRule="auto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ru-RU"/>
        </w:rPr>
      </w:pP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>С уважением,</w:t>
      </w:r>
    </w:p>
    <w:p w14:paraId="63BA9656" w14:textId="18E7B55C" w:rsidR="00D470A2" w:rsidRPr="008968F7" w:rsidRDefault="00D470A2" w:rsidP="00D470A2">
      <w:pPr>
        <w:spacing w:after="160" w:line="259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 xml:space="preserve">Представитель по доверенности         </w:t>
      </w: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</w: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</w: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  <w:tab/>
      </w:r>
      <w:r w:rsidRPr="008968F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>Кеңесбек И.М.</w:t>
      </w:r>
    </w:p>
    <w:p w14:paraId="32B01DC8" w14:textId="77777777" w:rsidR="00D470A2" w:rsidRPr="008968F7" w:rsidRDefault="00D470A2" w:rsidP="009536FB">
      <w:pPr>
        <w:pStyle w:val="ac"/>
        <w:ind w:left="5664"/>
        <w:rPr>
          <w:rFonts w:ascii="Times New Roman" w:hAnsi="Times New Roman" w:cs="Times New Roman"/>
          <w:b/>
          <w:sz w:val="28"/>
          <w:szCs w:val="28"/>
          <w:lang w:val="kk-KZ" w:bidi="ru-RU"/>
        </w:rPr>
      </w:pPr>
    </w:p>
    <w:p w14:paraId="48001A87" w14:textId="77777777" w:rsidR="00D470A2" w:rsidRPr="008968F7" w:rsidRDefault="00D470A2" w:rsidP="009536FB">
      <w:pPr>
        <w:pStyle w:val="ac"/>
        <w:ind w:left="5664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5EBF514D" w14:textId="77777777" w:rsidR="00D470A2" w:rsidRPr="008968F7" w:rsidRDefault="00D470A2" w:rsidP="009536FB">
      <w:pPr>
        <w:pStyle w:val="ac"/>
        <w:ind w:left="5664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14:paraId="24F11F66" w14:textId="77777777" w:rsidR="00D470A2" w:rsidRPr="008968F7" w:rsidRDefault="00D470A2" w:rsidP="009536FB">
      <w:pPr>
        <w:pStyle w:val="ac"/>
        <w:ind w:left="5664"/>
        <w:rPr>
          <w:rFonts w:ascii="Times New Roman" w:hAnsi="Times New Roman" w:cs="Times New Roman"/>
          <w:b/>
          <w:sz w:val="28"/>
          <w:szCs w:val="28"/>
          <w:lang w:bidi="ru-RU"/>
        </w:rPr>
      </w:pPr>
    </w:p>
    <w:sectPr w:rsidR="00D470A2" w:rsidRPr="008968F7" w:rsidSect="009536FB">
      <w:pgSz w:w="11906" w:h="16838"/>
      <w:pgMar w:top="567" w:right="567" w:bottom="567" w:left="124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52D"/>
    <w:multiLevelType w:val="hybridMultilevel"/>
    <w:tmpl w:val="3A2284A2"/>
    <w:lvl w:ilvl="0" w:tplc="DD66254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CF603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EE87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6F5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C9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863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22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5A28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E6C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47FCB"/>
    <w:multiLevelType w:val="hybridMultilevel"/>
    <w:tmpl w:val="A47251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939CA"/>
    <w:multiLevelType w:val="hybridMultilevel"/>
    <w:tmpl w:val="94F4DA4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 w15:restartNumberingAfterBreak="0">
    <w:nsid w:val="31E7208F"/>
    <w:multiLevelType w:val="multilevel"/>
    <w:tmpl w:val="6732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E44E32"/>
    <w:multiLevelType w:val="hybridMultilevel"/>
    <w:tmpl w:val="2FF664E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7628686">
    <w:abstractNumId w:val="0"/>
  </w:num>
  <w:num w:numId="2" w16cid:durableId="833030285">
    <w:abstractNumId w:val="2"/>
  </w:num>
  <w:num w:numId="3" w16cid:durableId="1517890386">
    <w:abstractNumId w:val="1"/>
  </w:num>
  <w:num w:numId="4" w16cid:durableId="1666856728">
    <w:abstractNumId w:val="3"/>
  </w:num>
  <w:num w:numId="5" w16cid:durableId="1026059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FB"/>
    <w:rsid w:val="000C1AF7"/>
    <w:rsid w:val="000E75A0"/>
    <w:rsid w:val="000F6E83"/>
    <w:rsid w:val="001477F1"/>
    <w:rsid w:val="00154C5B"/>
    <w:rsid w:val="001550FD"/>
    <w:rsid w:val="001D1A8D"/>
    <w:rsid w:val="002761B1"/>
    <w:rsid w:val="002F3676"/>
    <w:rsid w:val="00317F20"/>
    <w:rsid w:val="004433F3"/>
    <w:rsid w:val="004866BC"/>
    <w:rsid w:val="004A4EA4"/>
    <w:rsid w:val="004B6ABF"/>
    <w:rsid w:val="004D0207"/>
    <w:rsid w:val="004E3EF8"/>
    <w:rsid w:val="00571B10"/>
    <w:rsid w:val="00580EA0"/>
    <w:rsid w:val="00586C2D"/>
    <w:rsid w:val="0059433F"/>
    <w:rsid w:val="00596A93"/>
    <w:rsid w:val="005A6056"/>
    <w:rsid w:val="005D4078"/>
    <w:rsid w:val="005D752D"/>
    <w:rsid w:val="00615205"/>
    <w:rsid w:val="006A2853"/>
    <w:rsid w:val="006F5561"/>
    <w:rsid w:val="00715687"/>
    <w:rsid w:val="007433C6"/>
    <w:rsid w:val="00743B33"/>
    <w:rsid w:val="007E4C44"/>
    <w:rsid w:val="007F414E"/>
    <w:rsid w:val="0082211F"/>
    <w:rsid w:val="00845EBA"/>
    <w:rsid w:val="0087492A"/>
    <w:rsid w:val="0089096B"/>
    <w:rsid w:val="00891CF5"/>
    <w:rsid w:val="008968F7"/>
    <w:rsid w:val="009536FB"/>
    <w:rsid w:val="009C12CA"/>
    <w:rsid w:val="009C13E8"/>
    <w:rsid w:val="009D00A0"/>
    <w:rsid w:val="00A42047"/>
    <w:rsid w:val="00A44657"/>
    <w:rsid w:val="00A46FA4"/>
    <w:rsid w:val="00A97B19"/>
    <w:rsid w:val="00AB14E5"/>
    <w:rsid w:val="00AC0CE7"/>
    <w:rsid w:val="00AC7CDD"/>
    <w:rsid w:val="00B33115"/>
    <w:rsid w:val="00B374E4"/>
    <w:rsid w:val="00B87E32"/>
    <w:rsid w:val="00C07CC7"/>
    <w:rsid w:val="00C2434D"/>
    <w:rsid w:val="00C631E2"/>
    <w:rsid w:val="00C73479"/>
    <w:rsid w:val="00CD13BC"/>
    <w:rsid w:val="00CD7BCC"/>
    <w:rsid w:val="00D2695D"/>
    <w:rsid w:val="00D470A2"/>
    <w:rsid w:val="00D703F9"/>
    <w:rsid w:val="00D85453"/>
    <w:rsid w:val="00DD446F"/>
    <w:rsid w:val="00DD5427"/>
    <w:rsid w:val="00DE4F7B"/>
    <w:rsid w:val="00E36C6B"/>
    <w:rsid w:val="00E505E9"/>
    <w:rsid w:val="00E77219"/>
    <w:rsid w:val="00E81E12"/>
    <w:rsid w:val="00E97063"/>
    <w:rsid w:val="00EE7111"/>
    <w:rsid w:val="00F029E8"/>
    <w:rsid w:val="00F4318A"/>
    <w:rsid w:val="00F4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FFC8"/>
  <w15:chartTrackingRefBased/>
  <w15:docId w15:val="{E35D16DE-48F8-2640-AD83-AA00192FA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6FB"/>
    <w:pPr>
      <w:spacing w:after="200" w:line="276" w:lineRule="auto"/>
    </w:pPr>
    <w:rPr>
      <w:rFonts w:ascii="Consolas" w:eastAsia="Consolas" w:hAnsi="Consolas" w:cs="Consolas"/>
      <w:kern w:val="0"/>
      <w:sz w:val="22"/>
      <w:szCs w:val="22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53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6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6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6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6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6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6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6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6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536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536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536F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36F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36F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536F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536F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536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536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53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6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53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536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536F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536F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536F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536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536F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536FB"/>
    <w:rPr>
      <w:b/>
      <w:bCs/>
      <w:smallCaps/>
      <w:color w:val="0F4761" w:themeColor="accent1" w:themeShade="BF"/>
      <w:spacing w:val="5"/>
    </w:rPr>
  </w:style>
  <w:style w:type="paragraph" w:styleId="ac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9536FB"/>
    <w:pPr>
      <w:spacing w:after="0" w:line="240" w:lineRule="auto"/>
    </w:pPr>
    <w:rPr>
      <w:kern w:val="0"/>
      <w:sz w:val="22"/>
      <w:szCs w:val="22"/>
      <w:lang w:val="ru-RU"/>
      <w14:ligatures w14:val="none"/>
    </w:rPr>
  </w:style>
  <w:style w:type="character" w:styleId="ae">
    <w:name w:val="Hyperlink"/>
    <w:basedOn w:val="a0"/>
    <w:rsid w:val="009536FB"/>
    <w:rPr>
      <w:color w:val="333399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c"/>
    <w:uiPriority w:val="1"/>
    <w:qFormat/>
    <w:locked/>
    <w:rsid w:val="009536FB"/>
    <w:rPr>
      <w:kern w:val="0"/>
      <w:sz w:val="22"/>
      <w:szCs w:val="22"/>
      <w:lang w:val="ru-RU"/>
      <w14:ligatures w14:val="none"/>
    </w:rPr>
  </w:style>
  <w:style w:type="character" w:customStyle="1" w:styleId="s1">
    <w:name w:val="s1"/>
    <w:basedOn w:val="a0"/>
    <w:rsid w:val="009536FB"/>
  </w:style>
  <w:style w:type="character" w:styleId="af">
    <w:name w:val="Unresolved Mention"/>
    <w:basedOn w:val="a0"/>
    <w:uiPriority w:val="99"/>
    <w:semiHidden/>
    <w:unhideWhenUsed/>
    <w:rsid w:val="009C13E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317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3</Pages>
  <Words>857</Words>
  <Characters>4886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72</cp:revision>
  <dcterms:created xsi:type="dcterms:W3CDTF">2025-11-18T11:04:00Z</dcterms:created>
  <dcterms:modified xsi:type="dcterms:W3CDTF">2025-11-21T17:13:00Z</dcterms:modified>
</cp:coreProperties>
</file>