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360C" w14:textId="58A1F25E" w:rsidR="00383A86" w:rsidRPr="00A03D7C" w:rsidRDefault="00383A86" w:rsidP="00383A86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 w:rsidR="00936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936B60" w:rsidRPr="00A03D7C">
        <w:rPr>
          <w:rFonts w:ascii="Times New Roman" w:hAnsi="Times New Roman" w:cs="Times New Roman"/>
          <w:b/>
          <w:sz w:val="28"/>
          <w:szCs w:val="28"/>
        </w:rPr>
        <w:t>Прокуратуру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A03D7C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5B5637A" w14:textId="77777777" w:rsidR="00383A86" w:rsidRDefault="00383A86" w:rsidP="00A03D7C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064F12D0" w14:textId="77777777" w:rsidR="00383A86" w:rsidRDefault="00383A86" w:rsidP="00A03D7C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59DA4F55" w14:textId="0AB614F8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A03D7C">
        <w:rPr>
          <w:rFonts w:ascii="Times New Roman" w:hAnsi="Times New Roman" w:cs="Times New Roman"/>
          <w:b/>
          <w:sz w:val="28"/>
          <w:szCs w:val="28"/>
        </w:rPr>
        <w:t>В Прокуратуру города Алматы</w:t>
      </w:r>
    </w:p>
    <w:p w14:paraId="272260B9" w14:textId="77777777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Республика Казахстан, г. Алматы, 050059, Бостандыкский район,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ул.Желтоксан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>, д. 189.</w:t>
      </w:r>
    </w:p>
    <w:p w14:paraId="6CE561CF" w14:textId="304B150E" w:rsidR="00A03D7C" w:rsidRPr="00383A86" w:rsidRDefault="00A03D7C" w:rsidP="00A03D7C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383A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03D7C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383A8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383A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83A86" w:rsidRPr="00383A86">
        <w:rPr>
          <w:rFonts w:ascii="Times New Roman" w:hAnsi="Times New Roman" w:cs="Times New Roman"/>
          <w:sz w:val="28"/>
          <w:szCs w:val="28"/>
        </w:rPr>
        <w:t>.</w:t>
      </w:r>
      <w:r w:rsidRPr="00383A8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83A86" w:rsidRPr="00383A86">
        <w:rPr>
          <w:rFonts w:ascii="Times New Roman" w:hAnsi="Times New Roman" w:cs="Times New Roman"/>
          <w:sz w:val="28"/>
          <w:szCs w:val="28"/>
        </w:rPr>
        <w:t>.</w:t>
      </w:r>
      <w:r w:rsidRPr="00383A8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83A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3A86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36E642C7" w14:textId="72A83E12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БИН </w:t>
      </w:r>
      <w:r w:rsidR="00383A86">
        <w:rPr>
          <w:rFonts w:ascii="Times New Roman" w:hAnsi="Times New Roman" w:cs="Times New Roman"/>
          <w:sz w:val="28"/>
          <w:szCs w:val="28"/>
        </w:rPr>
        <w:t>…</w:t>
      </w:r>
      <w:r w:rsidR="00506860">
        <w:rPr>
          <w:rFonts w:ascii="Times New Roman" w:hAnsi="Times New Roman" w:cs="Times New Roman"/>
          <w:sz w:val="28"/>
          <w:szCs w:val="28"/>
        </w:rPr>
        <w:t>..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C9A72" w14:textId="2D74CE41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г. Алматы, ул. Б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24DDCC33" w14:textId="27E5E7A7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+7 705 </w:t>
      </w:r>
      <w:r w:rsidR="00383A86">
        <w:rPr>
          <w:rFonts w:ascii="Times New Roman" w:hAnsi="Times New Roman" w:cs="Times New Roman"/>
          <w:sz w:val="28"/>
          <w:szCs w:val="28"/>
        </w:rPr>
        <w:t>…</w:t>
      </w:r>
    </w:p>
    <w:p w14:paraId="6BEF90A0" w14:textId="77777777" w:rsidR="00A03D7C" w:rsidRPr="00A03D7C" w:rsidRDefault="00A03D7C" w:rsidP="00A03D7C">
      <w:pPr>
        <w:pStyle w:val="51"/>
        <w:ind w:left="3540"/>
        <w:rPr>
          <w:b/>
          <w:bCs/>
          <w:sz w:val="28"/>
          <w:szCs w:val="28"/>
        </w:rPr>
      </w:pPr>
      <w:r w:rsidRPr="00A03D7C">
        <w:rPr>
          <w:b/>
          <w:bCs/>
          <w:sz w:val="28"/>
          <w:szCs w:val="28"/>
        </w:rPr>
        <w:t xml:space="preserve">Представитель по доверенности: </w:t>
      </w:r>
    </w:p>
    <w:p w14:paraId="608C2AA2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Адвокатская контора «Закон и Право»   </w:t>
      </w:r>
    </w:p>
    <w:p w14:paraId="7C4C60E4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БИН 201240021767 </w:t>
      </w:r>
    </w:p>
    <w:p w14:paraId="192DF514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г. Алматы, пр. Абылай Хана, д. 79, офис 304</w:t>
      </w:r>
    </w:p>
    <w:p w14:paraId="131FC9A0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hyperlink r:id="rId5"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info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@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A03D7C">
        <w:rPr>
          <w:sz w:val="28"/>
          <w:szCs w:val="28"/>
        </w:rPr>
        <w:t xml:space="preserve"> / </w:t>
      </w:r>
      <w:hyperlink r:id="rId6"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www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A03D7C">
        <w:rPr>
          <w:sz w:val="28"/>
          <w:szCs w:val="28"/>
        </w:rPr>
        <w:t xml:space="preserve"> </w:t>
      </w:r>
    </w:p>
    <w:p w14:paraId="4586ABEF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 xml:space="preserve">+7 708 578 5758; +7 727 971 78 58. </w:t>
      </w:r>
    </w:p>
    <w:p w14:paraId="5A7EBB20" w14:textId="77777777" w:rsidR="00A03D7C" w:rsidRPr="00A03D7C" w:rsidRDefault="00A03D7C" w:rsidP="00A03D7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DDA985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</w:p>
    <w:p w14:paraId="34BD2690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A03D7C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77D3495" w14:textId="77777777" w:rsidR="00A03D7C" w:rsidRPr="00A03D7C" w:rsidRDefault="00A03D7C" w:rsidP="00A03D7C">
      <w:pPr>
        <w:pStyle w:val="ac"/>
        <w:tabs>
          <w:tab w:val="left" w:pos="3364"/>
          <w:tab w:val="center" w:pos="5103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</w:t>
      </w:r>
    </w:p>
    <w:p w14:paraId="795722E6" w14:textId="47A2F8EA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11 марта 2024 года Судья специализированного межрайонного экономического суда города Алматы Т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А.С., рассмотрев заявление истца об обеспечении иска по гражданскому делу по иску товарищества с ограниченной ответственностью «Т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«M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B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G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1EE2CB8A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огласно </w:t>
      </w:r>
      <w:proofErr w:type="spellStart"/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пп</w:t>
      </w:r>
      <w:proofErr w:type="spellEnd"/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. 1, р. 1 </w:t>
      </w:r>
      <w:proofErr w:type="spellStart"/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ст</w:t>
      </w:r>
      <w:proofErr w:type="spellEnd"/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 xml:space="preserve"> 156</w:t>
      </w:r>
      <w:r w:rsidRPr="00A03D7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филиала банка-нерезидента Республики Казахстан, и на имущество, являющееся предметом по операциям </w:t>
      </w:r>
      <w:proofErr w:type="spellStart"/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репо</w:t>
      </w:r>
      <w:proofErr w:type="spellEnd"/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</w:t>
      </w:r>
      <w:proofErr w:type="spellStart"/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маржевыми</w:t>
      </w:r>
      <w:proofErr w:type="spellEnd"/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7DA73BE1" w14:textId="328EF409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Таким образом ЧСИ города Алматы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Тауекеловым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Танирбергеновичем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 xml:space="preserve"> на основании Определения суда от 11 марта 2024 года были наложены обременения (Арест) 17 апреля 2024 год на единственный расчетный счет KZ286017131000025282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383A86" w:rsidRPr="00A03D7C">
        <w:rPr>
          <w:rFonts w:ascii="Times New Roman" w:hAnsi="Times New Roman" w:cs="Times New Roman"/>
          <w:sz w:val="28"/>
          <w:szCs w:val="28"/>
        </w:rPr>
        <w:t>M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="00383A86" w:rsidRPr="00A03D7C">
        <w:rPr>
          <w:rFonts w:ascii="Times New Roman" w:hAnsi="Times New Roman" w:cs="Times New Roman"/>
          <w:sz w:val="28"/>
          <w:szCs w:val="28"/>
        </w:rPr>
        <w:t>B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="00383A86" w:rsidRPr="00A03D7C">
        <w:rPr>
          <w:rFonts w:ascii="Times New Roman" w:hAnsi="Times New Roman" w:cs="Times New Roman"/>
          <w:sz w:val="28"/>
          <w:szCs w:val="28"/>
        </w:rPr>
        <w:t>G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 xml:space="preserve">» тому свидетельствует Выписка по счету за период с 16-04-2023 по 17-04-2024 год. </w:t>
      </w:r>
    </w:p>
    <w:p w14:paraId="13B12346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0DA2E3B6" w14:textId="4ED1D106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ТОО «</w:t>
      </w:r>
      <w:r w:rsidR="00383A86" w:rsidRPr="00A03D7C">
        <w:rPr>
          <w:rFonts w:ascii="Times New Roman" w:hAnsi="Times New Roman" w:cs="Times New Roman"/>
          <w:sz w:val="28"/>
          <w:szCs w:val="28"/>
        </w:rPr>
        <w:t>M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="00383A86" w:rsidRPr="00A03D7C">
        <w:rPr>
          <w:rFonts w:ascii="Times New Roman" w:hAnsi="Times New Roman" w:cs="Times New Roman"/>
          <w:sz w:val="28"/>
          <w:szCs w:val="28"/>
        </w:rPr>
        <w:t>B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="00383A86" w:rsidRPr="00A03D7C">
        <w:rPr>
          <w:rFonts w:ascii="Times New Roman" w:hAnsi="Times New Roman" w:cs="Times New Roman"/>
          <w:sz w:val="28"/>
          <w:szCs w:val="28"/>
        </w:rPr>
        <w:t>G</w:t>
      </w:r>
      <w:r w:rsidR="00383A86">
        <w:rPr>
          <w:rFonts w:ascii="Times New Roman" w:hAnsi="Times New Roman" w:cs="Times New Roman"/>
          <w:sz w:val="28"/>
          <w:szCs w:val="28"/>
        </w:rPr>
        <w:t>.</w:t>
      </w:r>
      <w:r w:rsidRPr="00A03D7C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3D068832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Однако ЧСИ на все наши вышеуказанные доводы и письма, просьбы снять с вышеуказанного текущего счета ареста категорически игнорирует, приводя свои аргументы и доводы.  </w:t>
      </w:r>
    </w:p>
    <w:p w14:paraId="3EA3C027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В соответствии п.п. 1, п. 2, ст. 32 ЗРК Об исполнительном производстве и статусе судебных исполнителей предусмотрено, что при принятии м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A03D7C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A03D7C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A03D7C">
        <w:rPr>
          <w:rFonts w:ascii="Times New Roman" w:hAnsi="Times New Roman" w:cs="Times New Roman"/>
          <w:sz w:val="28"/>
          <w:szCs w:val="28"/>
        </w:rPr>
        <w:t>.</w:t>
      </w:r>
    </w:p>
    <w:p w14:paraId="2B0F77C7" w14:textId="77777777" w:rsidR="00A03D7C" w:rsidRPr="00A03D7C" w:rsidRDefault="00A03D7C" w:rsidP="00A03D7C">
      <w:pPr>
        <w:pStyle w:val="11"/>
        <w:ind w:firstLine="567"/>
        <w:jc w:val="both"/>
        <w:rPr>
          <w:sz w:val="28"/>
          <w:szCs w:val="28"/>
        </w:rPr>
      </w:pPr>
      <w:r w:rsidRPr="00A03D7C">
        <w:rPr>
          <w:sz w:val="28"/>
          <w:szCs w:val="28"/>
        </w:rPr>
        <w:t xml:space="preserve">Таким образом в действиях ЧСИ имеется факт прямой заинтересованности в исходе исполнительного производства и беспристрастность ЧСИ вызывает у нас сомнение.  </w:t>
      </w:r>
    </w:p>
    <w:p w14:paraId="0B72DE72" w14:textId="77777777" w:rsidR="00A03D7C" w:rsidRPr="00A03D7C" w:rsidRDefault="00A03D7C" w:rsidP="00A03D7C">
      <w:pPr>
        <w:widowControl w:val="0"/>
        <w:spacing w:after="0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50CC6406" w14:textId="197B5258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A03D7C">
        <w:rPr>
          <w:rFonts w:ascii="Times New Roman" w:hAnsi="Times New Roman" w:cs="Times New Roman"/>
          <w:sz w:val="28"/>
          <w:szCs w:val="28"/>
        </w:rPr>
        <w:t xml:space="preserve">Конституционного закона Республики </w:t>
      </w:r>
      <w:proofErr w:type="gramStart"/>
      <w:r w:rsidRPr="00A03D7C">
        <w:rPr>
          <w:rFonts w:ascii="Times New Roman" w:hAnsi="Times New Roman" w:cs="Times New Roman"/>
          <w:sz w:val="28"/>
          <w:szCs w:val="28"/>
        </w:rPr>
        <w:t>Казахстан</w:t>
      </w:r>
      <w:proofErr w:type="gramEnd"/>
      <w:r w:rsidRPr="00A03D7C">
        <w:rPr>
          <w:rFonts w:ascii="Times New Roman" w:hAnsi="Times New Roman" w:cs="Times New Roman"/>
          <w:sz w:val="28"/>
          <w:szCs w:val="28"/>
        </w:rPr>
        <w:t xml:space="preserve"> О прокуратуре, </w:t>
      </w:r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Закона </w:t>
      </w:r>
      <w:proofErr w:type="gramStart"/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>гласит</w:t>
      </w:r>
      <w:proofErr w:type="gramEnd"/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Прокуратура осуществляет высший надзор (далее - надзор) за законностью. </w:t>
      </w:r>
    </w:p>
    <w:p w14:paraId="4C262540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в соответствии </w:t>
      </w:r>
      <w:r w:rsidRPr="00A03D7C">
        <w:rPr>
          <w:rFonts w:ascii="Times New Roman" w:hAnsi="Times New Roman" w:cs="Times New Roman"/>
          <w:sz w:val="28"/>
          <w:szCs w:val="28"/>
        </w:rPr>
        <w:t xml:space="preserve">Конституционного закона Республики </w:t>
      </w:r>
      <w:proofErr w:type="gramStart"/>
      <w:r w:rsidRPr="00A03D7C">
        <w:rPr>
          <w:rFonts w:ascii="Times New Roman" w:hAnsi="Times New Roman" w:cs="Times New Roman"/>
          <w:sz w:val="28"/>
          <w:szCs w:val="28"/>
        </w:rPr>
        <w:t>Казахстан</w:t>
      </w:r>
      <w:proofErr w:type="gramEnd"/>
      <w:r w:rsidRPr="00A03D7C">
        <w:rPr>
          <w:rFonts w:ascii="Times New Roman" w:hAnsi="Times New Roman" w:cs="Times New Roman"/>
          <w:sz w:val="28"/>
          <w:szCs w:val="28"/>
        </w:rPr>
        <w:t> О прокуратуре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E6FF7BE" w14:textId="77777777" w:rsidR="00A03D7C" w:rsidRPr="00A03D7C" w:rsidRDefault="00A03D7C" w:rsidP="00A03D7C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588018A7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 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53E9669" w14:textId="77777777" w:rsidR="00A03D7C" w:rsidRPr="00A03D7C" w:rsidRDefault="00A03D7C" w:rsidP="00A03D7C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0D1D0886" w14:textId="77777777" w:rsidR="00A03D7C" w:rsidRPr="00A03D7C" w:rsidRDefault="00A03D7C" w:rsidP="00A03D7C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lastRenderedPageBreak/>
        <w:t xml:space="preserve">Дать правовую оценку действиям/бездействиям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Тауекелова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Танирбергеновича</w:t>
      </w:r>
      <w:proofErr w:type="spellEnd"/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DDCB002" w14:textId="77777777" w:rsidR="00A03D7C" w:rsidRPr="00A03D7C" w:rsidRDefault="00A03D7C" w:rsidP="00A03D7C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  <w:lang w:val="kk-KZ"/>
        </w:rPr>
        <w:t xml:space="preserve">В случае обнаружения нарушения законодательства в действиях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Тауекелова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Танирбергеновича</w:t>
      </w:r>
      <w:proofErr w:type="spellEnd"/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03D7C">
        <w:rPr>
          <w:rFonts w:ascii="Times New Roman" w:hAnsi="Times New Roman" w:cs="Times New Roman"/>
          <w:sz w:val="28"/>
          <w:szCs w:val="28"/>
        </w:rPr>
        <w:t>возложить на него</w:t>
      </w:r>
      <w:r w:rsidRPr="00A03D7C">
        <w:rPr>
          <w:rFonts w:ascii="Times New Roman" w:hAnsi="Times New Roman" w:cs="Times New Roman"/>
          <w:sz w:val="28"/>
          <w:szCs w:val="28"/>
          <w:lang w:val="kk-KZ"/>
        </w:rPr>
        <w:t xml:space="preserve"> обязанности по устранению нарушенных прав и привлечь к ответственности;  </w:t>
      </w:r>
    </w:p>
    <w:p w14:paraId="06590077" w14:textId="77777777" w:rsidR="00A03D7C" w:rsidRPr="00A03D7C" w:rsidRDefault="00A03D7C" w:rsidP="00A03D7C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Тауекелова</w:t>
      </w:r>
      <w:proofErr w:type="spellEnd"/>
      <w:r w:rsidRPr="00A03D7C"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 w:rsidRPr="00A03D7C">
        <w:rPr>
          <w:rFonts w:ascii="Times New Roman" w:hAnsi="Times New Roman" w:cs="Times New Roman"/>
          <w:sz w:val="28"/>
          <w:szCs w:val="28"/>
        </w:rPr>
        <w:t>Танирбергеновича</w:t>
      </w:r>
      <w:proofErr w:type="spellEnd"/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снять обременения с расчетного счета юридического лица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739080" w14:textId="77777777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7B4BFA" w14:textId="77777777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уважением, </w:t>
      </w:r>
    </w:p>
    <w:p w14:paraId="281E889E" w14:textId="30ADC07A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_____________ /</w:t>
      </w:r>
      <w:r w:rsidRPr="00A03D7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383A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3D7C">
        <w:rPr>
          <w:rFonts w:ascii="Times New Roman" w:hAnsi="Times New Roman" w:cs="Times New Roman"/>
          <w:b/>
          <w:bCs/>
          <w:sz w:val="28"/>
          <w:szCs w:val="28"/>
        </w:rPr>
        <w:t xml:space="preserve">И.С.   </w:t>
      </w:r>
    </w:p>
    <w:p w14:paraId="366BE439" w14:textId="77777777" w:rsidR="00A03D7C" w:rsidRPr="00A03D7C" w:rsidRDefault="00A03D7C" w:rsidP="00A03D7C">
      <w:pPr>
        <w:widowControl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1F3BD7" w14:textId="77777777" w:rsidR="00A03D7C" w:rsidRPr="00A03D7C" w:rsidRDefault="00A03D7C" w:rsidP="00A03D7C">
      <w:pPr>
        <w:pStyle w:val="ac"/>
        <w:widowControl w:val="0"/>
        <w:ind w:left="4260" w:firstLine="696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</w:t>
      </w:r>
      <w:proofErr w:type="gramStart"/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____________2024 год.</w:t>
      </w:r>
    </w:p>
    <w:p w14:paraId="17157951" w14:textId="77777777" w:rsidR="00795605" w:rsidRPr="00A03D7C" w:rsidRDefault="00795605">
      <w:pPr>
        <w:rPr>
          <w:rFonts w:ascii="Times New Roman" w:hAnsi="Times New Roman" w:cs="Times New Roman"/>
          <w:sz w:val="28"/>
          <w:szCs w:val="28"/>
        </w:rPr>
      </w:pPr>
    </w:p>
    <w:sectPr w:rsidR="00795605" w:rsidRPr="00A03D7C" w:rsidSect="000D5DA3">
      <w:pgSz w:w="11906" w:h="16838"/>
      <w:pgMar w:top="709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11E07"/>
    <w:multiLevelType w:val="hybridMultilevel"/>
    <w:tmpl w:val="3BB4E042"/>
    <w:lvl w:ilvl="0" w:tplc="E6B0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5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90"/>
    <w:rsid w:val="000D5DA3"/>
    <w:rsid w:val="001A065A"/>
    <w:rsid w:val="00210873"/>
    <w:rsid w:val="00383A86"/>
    <w:rsid w:val="00506860"/>
    <w:rsid w:val="00795605"/>
    <w:rsid w:val="00910D2C"/>
    <w:rsid w:val="00936B60"/>
    <w:rsid w:val="00A03D7C"/>
    <w:rsid w:val="00D82448"/>
    <w:rsid w:val="00DB6790"/>
    <w:rsid w:val="00E43175"/>
    <w:rsid w:val="00EE2EF0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A017"/>
  <w15:chartTrackingRefBased/>
  <w15:docId w15:val="{AB55672D-11FD-4EE7-8D69-51DB53C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7C"/>
    <w:pPr>
      <w:spacing w:after="200" w:line="240" w:lineRule="auto"/>
    </w:pPr>
    <w:rPr>
      <w:rFonts w:ascii="Arial" w:eastAsiaTheme="minorEastAsia" w:hAnsi="Arial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7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7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7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7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7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7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79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A03D7C"/>
    <w:pPr>
      <w:spacing w:after="0" w:line="240" w:lineRule="auto"/>
    </w:pPr>
    <w:rPr>
      <w:rFonts w:ascii="Arial" w:eastAsiaTheme="minorEastAsia" w:hAnsi="Arial"/>
      <w:kern w:val="0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A03D7C"/>
    <w:rPr>
      <w:rFonts w:ascii="Arial" w:eastAsiaTheme="minorEastAsia" w:hAnsi="Arial"/>
      <w:kern w:val="0"/>
      <w:lang w:val="ru-RU" w:eastAsia="zh-CN"/>
      <w14:ligatures w14:val="none"/>
    </w:rPr>
  </w:style>
  <w:style w:type="character" w:styleId="ae">
    <w:name w:val="Hyperlink"/>
    <w:basedOn w:val="a0"/>
    <w:uiPriority w:val="99"/>
    <w:rsid w:val="00A03D7C"/>
    <w:rPr>
      <w:color w:val="467886" w:themeColor="hyperlink"/>
      <w:u w:val="single"/>
    </w:rPr>
  </w:style>
  <w:style w:type="character" w:customStyle="1" w:styleId="normaltextrun">
    <w:name w:val="normaltextrun"/>
    <w:basedOn w:val="a0"/>
    <w:rsid w:val="00A03D7C"/>
  </w:style>
  <w:style w:type="paragraph" w:customStyle="1" w:styleId="11">
    <w:name w:val="Основной текст1"/>
    <w:basedOn w:val="a"/>
    <w:rsid w:val="00A03D7C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customStyle="1" w:styleId="51">
    <w:name w:val="Основной текст (5)"/>
    <w:basedOn w:val="a"/>
    <w:qFormat/>
    <w:rsid w:val="00A03D7C"/>
    <w:pPr>
      <w:spacing w:after="0" w:line="259" w:lineRule="exact"/>
    </w:pPr>
    <w:rPr>
      <w:rFonts w:ascii="Times New Roman" w:eastAsia="Times New Roman" w:hAnsi="Times New Roman" w:cs="Times New Roman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2024-04-18T10:15:00Z</dcterms:created>
  <dcterms:modified xsi:type="dcterms:W3CDTF">2026-01-27T10:59:00Z</dcterms:modified>
</cp:coreProperties>
</file>