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8115B" w14:textId="4726B0EF" w:rsidR="00307A2F" w:rsidRPr="0036612E" w:rsidRDefault="005F12B6" w:rsidP="00712C1B">
      <w:pPr>
        <w:jc w:val="center"/>
        <w:rPr>
          <w:b/>
          <w:bCs/>
        </w:rPr>
      </w:pPr>
      <w:r w:rsidRPr="0036612E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36612E">
        <w:rPr>
          <w:rFonts w:ascii="Times New Roman" w:hAnsi="Times New Roman" w:cs="Times New Roman"/>
          <w:b/>
          <w:bCs/>
          <w:sz w:val="24"/>
          <w:szCs w:val="24"/>
        </w:rPr>
        <w:t>езаконное прекращение производство</w:t>
      </w:r>
      <w:r w:rsidRPr="003661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1AAD" w:rsidRPr="0036612E">
        <w:rPr>
          <w:rFonts w:ascii="Times New Roman" w:hAnsi="Times New Roman" w:cs="Times New Roman"/>
          <w:b/>
          <w:bCs/>
          <w:sz w:val="24"/>
          <w:szCs w:val="24"/>
        </w:rPr>
        <w:t>об административном правонарушении</w:t>
      </w:r>
      <w:r w:rsidR="00E61D37" w:rsidRPr="003661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6AFB" w:rsidRPr="0036612E">
        <w:rPr>
          <w:rFonts w:ascii="Times New Roman" w:hAnsi="Times New Roman" w:cs="Times New Roman"/>
          <w:b/>
          <w:bCs/>
          <w:sz w:val="24"/>
          <w:szCs w:val="24"/>
        </w:rPr>
        <w:t>допусти</w:t>
      </w:r>
      <w:r w:rsidR="00FA6AFB" w:rsidRPr="0036612E">
        <w:rPr>
          <w:rFonts w:ascii="Times New Roman" w:hAnsi="Times New Roman" w:cs="Times New Roman"/>
          <w:b/>
          <w:bCs/>
          <w:sz w:val="24"/>
          <w:szCs w:val="24"/>
        </w:rPr>
        <w:t>вшего</w:t>
      </w:r>
      <w:r w:rsidR="00FA6AFB" w:rsidRPr="003661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FA6AFB" w:rsidRPr="0036612E">
        <w:rPr>
          <w:rFonts w:ascii="Times New Roman" w:hAnsi="Times New Roman" w:cs="Times New Roman"/>
          <w:b/>
          <w:bCs/>
          <w:sz w:val="24"/>
          <w:szCs w:val="24"/>
        </w:rPr>
        <w:t>столкновение</w:t>
      </w:r>
      <w:proofErr w:type="gramEnd"/>
      <w:r w:rsidR="00FA6AFB" w:rsidRPr="003661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2C1B" w:rsidRPr="0036612E">
        <w:rPr>
          <w:rFonts w:ascii="Times New Roman" w:hAnsi="Times New Roman" w:cs="Times New Roman"/>
          <w:b/>
          <w:bCs/>
          <w:sz w:val="24"/>
          <w:szCs w:val="24"/>
        </w:rPr>
        <w:t>не соблюдая</w:t>
      </w:r>
      <w:r w:rsidR="00E61D37" w:rsidRPr="0036612E">
        <w:rPr>
          <w:rFonts w:ascii="Times New Roman" w:hAnsi="Times New Roman" w:cs="Times New Roman"/>
          <w:b/>
          <w:bCs/>
          <w:sz w:val="24"/>
          <w:szCs w:val="24"/>
        </w:rPr>
        <w:t xml:space="preserve"> безопасност</w:t>
      </w:r>
      <w:r w:rsidR="00FA6AFB" w:rsidRPr="0036612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E61D37" w:rsidRPr="0036612E">
        <w:rPr>
          <w:rFonts w:ascii="Times New Roman" w:hAnsi="Times New Roman" w:cs="Times New Roman"/>
          <w:b/>
          <w:bCs/>
          <w:sz w:val="24"/>
          <w:szCs w:val="24"/>
        </w:rPr>
        <w:t xml:space="preserve"> дорожного движения</w:t>
      </w:r>
    </w:p>
    <w:p w14:paraId="7CED4965" w14:textId="55547A6B" w:rsidR="00702393" w:rsidRPr="00712C1B" w:rsidRDefault="00307A2F" w:rsidP="00307A2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12C1B">
        <w:rPr>
          <w:rFonts w:ascii="Times New Roman" w:hAnsi="Times New Roman" w:cs="Times New Roman"/>
          <w:bCs/>
          <w:sz w:val="24"/>
          <w:szCs w:val="24"/>
        </w:rPr>
        <w:t>Для проверки объективности доводов участников происшествия должных мер не принято надлежащая правовая оценка не дана.</w:t>
      </w:r>
    </w:p>
    <w:p w14:paraId="5B4394B9" w14:textId="77777777" w:rsidR="00E61D37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Старшим инспектором отдела дорожной полиции Управления внутренних дел города Экибастуза (далее – ИДП ОДП УВД) майором полиции Б. в отношении М. составлен протокол об административном правонарушении, предусмотренном частью 2 статьи 468 КоАП. </w:t>
      </w:r>
      <w:proofErr w:type="gramStart"/>
      <w:r w:rsidRPr="00307A2F">
        <w:rPr>
          <w:rFonts w:ascii="Times New Roman" w:hAnsi="Times New Roman" w:cs="Times New Roman"/>
          <w:sz w:val="24"/>
          <w:szCs w:val="24"/>
        </w:rPr>
        <w:t>М.</w:t>
      </w:r>
      <w:proofErr w:type="gramEnd"/>
      <w:r w:rsidRPr="00307A2F">
        <w:rPr>
          <w:rFonts w:ascii="Times New Roman" w:hAnsi="Times New Roman" w:cs="Times New Roman"/>
          <w:sz w:val="24"/>
          <w:szCs w:val="24"/>
        </w:rPr>
        <w:t xml:space="preserve"> управляя автомашиной, двигаясь по направлению с запада на восток по улице 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М.Ауэзова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 в городе Экибастузе, на пересечении с улицей Строительной, не обеспечив безопасность дорожного движения, допустила столкновение с автомашиной под управлением Д., двигавшейся по направлению с севера на юг по улице Строительной. </w:t>
      </w:r>
    </w:p>
    <w:p w14:paraId="08073169" w14:textId="16FF4D42" w:rsidR="00E61D37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административного суда города Экибастуза от 21 мая 2012 года возбужденное в отношении М. производство по делу об административном правонарушении прекращено за отсутствием в её действиях состава правонарушения, предусмотренного частью 2 статьи 468 КоАП. </w:t>
      </w:r>
    </w:p>
    <w:p w14:paraId="7249DAFE" w14:textId="59D97FC3" w:rsidR="00250A46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Определением Павлодарского областного суда от 26 июля 2012 года постановление специализированного административного суда оставлено без изменения, жалоба Д. – без удовлетворения. </w:t>
      </w:r>
    </w:p>
    <w:p w14:paraId="797A4D73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В протесте заместитель Генерального прокурора привел доводы о допущенном судами существенном нарушении норм процессуального права, повлекшем незаконное прекращение производством возбужденного в отношении М. дела об административном правонарушении, просил постановление специализированного административного суда города Экибастуза от 21 мая 2012 и определение Павлодарского областного суда от 26 июля 2012 года отменить, дело об административном правонарушении направить на новое рассмотрение. </w:t>
      </w:r>
    </w:p>
    <w:p w14:paraId="1039D9A9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Надзорная судебная коллегия </w:t>
      </w:r>
      <w:hyperlink r:id="rId6" w:history="1">
        <w:r w:rsidRPr="00250A46">
          <w:rPr>
            <w:rStyle w:val="aa"/>
            <w:rFonts w:ascii="Times New Roman" w:hAnsi="Times New Roman" w:cs="Times New Roman"/>
            <w:sz w:val="24"/>
            <w:szCs w:val="24"/>
          </w:rPr>
          <w:t>Верховного Суда постановление</w:t>
        </w:r>
      </w:hyperlink>
      <w:r w:rsidRPr="00307A2F">
        <w:rPr>
          <w:rFonts w:ascii="Times New Roman" w:hAnsi="Times New Roman" w:cs="Times New Roman"/>
          <w:sz w:val="24"/>
          <w:szCs w:val="24"/>
        </w:rPr>
        <w:t xml:space="preserve"> специализированного административного суда города Экибастуза и определение Павлодарского областного суда отменила. Дело об административном правонарушении, предусмотренном частью 2 статьи 468 КоАП, возбужденное в отношении М., направила в специализированный административный суд города Экибастуза на новое судебное рассмотрение в ином составе, указав следующее. Как указано выше, из протокола об административном правонарушении от 05 марта 2012 года видно, что 13 июля 2011 года управлявшая автомашиной М., допустила столкновение с автомашиной под управлением Д., двигавшейся по улице Строительной по направлению с севера на юг. </w:t>
      </w:r>
    </w:p>
    <w:p w14:paraId="7DEB3935" w14:textId="63FA3115" w:rsidR="00250A46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Установлено, что в результате дорожно-транспортного происшествия (далее – ДТП) обе автомашины получили механические повреждения. </w:t>
      </w:r>
    </w:p>
    <w:p w14:paraId="751B7BD9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Кроме того, водителю Д. и несовершеннолетнему пассажиру Н., находившемуся в салоне автомашины марки «Honda CRV», причинены телесные повреждения, повлекшие лёгкий вред здоровью каждого. Постановлением ИДП ОДП УВД Б. от 07 февраля 2012 года в возбуждении в отношении М. уголовного дела отказано за отсутствием в её действиях состава преступления, предусмотренного статьёй 296 УК. Прекращение производства по делу специализированный 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администра-тивный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 суд мотивировал отсутствием доказательств виновности М. в нарушении установленных правил дорожного движения. </w:t>
      </w:r>
    </w:p>
    <w:p w14:paraId="3A5C959C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Протокол об административном правонарушении от 05 марта 2012 года с прилагающейся схемой ДТП от 13 июля 2011 года и заключение эксперта от 01 ноября 2011 </w:t>
      </w:r>
      <w:r w:rsidRPr="00307A2F">
        <w:rPr>
          <w:rFonts w:ascii="Times New Roman" w:hAnsi="Times New Roman" w:cs="Times New Roman"/>
          <w:sz w:val="24"/>
          <w:szCs w:val="24"/>
        </w:rPr>
        <w:lastRenderedPageBreak/>
        <w:t xml:space="preserve">года суд признал недопустимыми в качестве доказательств по делу. В надзорном протесте прокурором приведены доводы о том, что вышеприведённые выводы специализированного административного суда не соответствуют фактическим обстоятельствам дела. Отсутствие в схеме ДТП подписей М., а также понятых В. и С. на месте происшествия в момент составления схемы ДТП, по мнению прокурора, не послужили основанием для признания схемы происшествия и протокола недопустимыми в качестве доказательств. </w:t>
      </w:r>
    </w:p>
    <w:p w14:paraId="30359B26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Очевидцы ДТП А., Н. и О. дали пояснения по делу о том, что видели, как автомашина марки «Honda CRV» двигалась по улице 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М.Ауэзова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 на большой скорости, несмотря на запрещающий движение красный сигнал светофора, выехав на перекрёсток с улицы Строительной, не снижая скорости, она совершила столкновение с автомашиной марки «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Тоуота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», проезжавшей на разрешающий сигнал светофора. </w:t>
      </w:r>
    </w:p>
    <w:p w14:paraId="1B108E92" w14:textId="0CE45FA3" w:rsidR="00250A46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>От удара автомобиль марки «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Тоуота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» развернуло на 360°, а автомобиль «Honda CRV» врезался в ограду у здания Банка. Специализированным административным и областным судами не дана надлежащая правовая оценка тому обстоятельству, что составленная ИДП ОДП УВД Б. схема ДТП согласуется с вышеприведёнными показаниями участников и очевидцев происшествия, а в ходе 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доследственной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 проверки и при административном производстве М. не заявляла о недостоверности сведений, указанных в схеме ДТП, в судебном заседании на иное место столкновения автомашин не указывала. </w:t>
      </w:r>
    </w:p>
    <w:p w14:paraId="447F9850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В протесте приведены доводы о том, что показания Т., Р. и Б. о пересечении М. перекрёстка на разрешающий зеленый сигнал светофора, положенные в основу оспариваемых судебных актов, напротив, опровергаются исследованными доказательствами. По пояснениям названных свидетелей непосредственно момент столкновения автотранспортных средств они не видели и не могли достоверно указать место столкновения, а также находилась ли автомашина марки «Toyota 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Carina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 E» в том же положении, что и при столкновении, и на какой сигнал светофора она пересекала перекрёсток. Как опровергающие доводы Д. судами указаны и пояснения свидетеля Ф., тогда как он момент </w:t>
      </w:r>
      <w:hyperlink r:id="rId7" w:history="1">
        <w:r w:rsidRPr="00250A46">
          <w:rPr>
            <w:rStyle w:val="aa"/>
            <w:rFonts w:ascii="Times New Roman" w:hAnsi="Times New Roman" w:cs="Times New Roman"/>
            <w:sz w:val="24"/>
            <w:szCs w:val="24"/>
          </w:rPr>
          <w:t>столкновения автотранспортных средств</w:t>
        </w:r>
      </w:hyperlink>
      <w:r w:rsidRPr="00307A2F">
        <w:rPr>
          <w:rFonts w:ascii="Times New Roman" w:hAnsi="Times New Roman" w:cs="Times New Roman"/>
          <w:sz w:val="24"/>
          <w:szCs w:val="24"/>
        </w:rPr>
        <w:t xml:space="preserve"> не видел, а лишь слышал звук удара автомобилей. </w:t>
      </w:r>
    </w:p>
    <w:p w14:paraId="50755263" w14:textId="138DDDB8" w:rsidR="00250A46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>Факт превышения водителем автомашины марки «Honda CRV» установленной в данном населённом пункте скорости движения по делу подтвердили свидетели А., Н., О., эксперт С. Сама М. не отрицала факт увеличения скорости управлявшегося ею транспортного средства непосредственно на перекрёстке в момент мигания зелёного сигнала светофора с целью успеть завершить маневр и пересечь улицу Строительную до появления запрещающего движение красного сигнала светофора.</w:t>
      </w:r>
    </w:p>
    <w:p w14:paraId="03FB4124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 Согласно заключению эксперта Павлодарской 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научнопроизводственной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 лаборатории судебной экспертизы С. от 01 ноября 2011 года в условиях данного ДТП скорость движения автомашины марки «Honda CRV» непосредственно перед столкновением определена около 96.0 км/ч., а скорость автомашины марки «Toyota </w:t>
      </w:r>
      <w:proofErr w:type="spellStart"/>
      <w:r w:rsidRPr="00307A2F">
        <w:rPr>
          <w:rFonts w:ascii="Times New Roman" w:hAnsi="Times New Roman" w:cs="Times New Roman"/>
          <w:sz w:val="24"/>
          <w:szCs w:val="24"/>
        </w:rPr>
        <w:t>Carina</w:t>
      </w:r>
      <w:proofErr w:type="spellEnd"/>
      <w:r w:rsidRPr="00307A2F">
        <w:rPr>
          <w:rFonts w:ascii="Times New Roman" w:hAnsi="Times New Roman" w:cs="Times New Roman"/>
          <w:sz w:val="24"/>
          <w:szCs w:val="24"/>
        </w:rPr>
        <w:t xml:space="preserve"> E» - около 33,6 км/ч. При этом суды обеих инстанций, делая в оспариваемых судебных актах выводы о недопустимости в качестве доказательств схемы ДТП и вышеприведённого заключения экспертизы от 01 ноября 2011 года, не опросили самого эксперта С., не приняли других мер для выяснения вопроса о соответствии либо несоответствии сведений, указанных в схеме ДТП, обстоятельствам дорожной ситуации, механическим повреждениям двух автомашин, телесным повреждениям, причинённым водителю Д. и пассажиру Н. в результате происшествия. </w:t>
      </w:r>
    </w:p>
    <w:p w14:paraId="3DCA22CB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В силу пункта 3 статьи 604 КоАП, фактические данные должны быть признаны недопустимыми в качестве доказательств, если они получены с нарушениями требований </w:t>
      </w:r>
      <w:r w:rsidRPr="00307A2F">
        <w:rPr>
          <w:rFonts w:ascii="Times New Roman" w:hAnsi="Times New Roman" w:cs="Times New Roman"/>
          <w:sz w:val="24"/>
          <w:szCs w:val="24"/>
        </w:rPr>
        <w:lastRenderedPageBreak/>
        <w:t xml:space="preserve">КоАП, которые путём лишения или стеснения гарантированных законом прав участников процесса или нарушением иных правил процесса повлияли или могли повлиять на достоверность полученных фактических данных. В соответствии с частью 2 статьи 617 КоАП, каждое доказательство подлежит оценке с точки зрения относимости, допустимости, достоверности, а все собранные доказательства в совокупности - достаточности для разрешения дела. </w:t>
      </w:r>
    </w:p>
    <w:p w14:paraId="063DB822" w14:textId="58FEB09B" w:rsidR="00250A46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>В протесте приведены доводы о непринятии специализированным административным и областным судами должных мер для установления факта того, что допущенные ИДП ОДП УВД Б. процессуальные нарушения повлияли на достоверность фактических данных по делу, и, в связи с этим, оспариваются выводы судебных инстанций, основанные на односторонней правовой оценке доводов сторон.</w:t>
      </w:r>
    </w:p>
    <w:p w14:paraId="035B09FF" w14:textId="77777777" w:rsidR="0036612E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 В частности, указывается на отсутствие в действиях ИДП ОДП УВД Б. нарушения требований процессуального закона ввиду того, что М. не ознакомлена с протоколом об административном правонарушении и прилагающейся схемой, поскольку в связи с необходимостью оказания медицинской помощи пострадавшему в ДТП малолетнему сыну покинула место происшествия и в последующем для ознакомления с названными процессуальными документами в органы дорожной полиции не явилась. </w:t>
      </w:r>
    </w:p>
    <w:p w14:paraId="5F37B971" w14:textId="0EA5A296" w:rsidR="00250A46" w:rsidRDefault="00307A2F" w:rsidP="00307A2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Таким образом, добытым по делу доказательствам о наличии либо отсутствии в действиях М. состава административного правонарушения специализированным административным судом города Экибастуза и Павлодарским областным </w:t>
      </w:r>
      <w:hyperlink r:id="rId8" w:history="1">
        <w:r w:rsidRPr="00250A46">
          <w:rPr>
            <w:rStyle w:val="aa"/>
            <w:rFonts w:ascii="Times New Roman" w:hAnsi="Times New Roman" w:cs="Times New Roman"/>
            <w:sz w:val="24"/>
            <w:szCs w:val="24"/>
          </w:rPr>
          <w:t>судом в соответствии с требованиями</w:t>
        </w:r>
      </w:hyperlink>
      <w:r w:rsidRPr="00307A2F">
        <w:rPr>
          <w:rFonts w:ascii="Times New Roman" w:hAnsi="Times New Roman" w:cs="Times New Roman"/>
          <w:sz w:val="24"/>
          <w:szCs w:val="24"/>
        </w:rPr>
        <w:t xml:space="preserve"> статей 604, 617 КоАП надлежащая правовая оценка не дана, для проверки объективности доводов участников происшествия должных мер, не принято. </w:t>
      </w:r>
    </w:p>
    <w:p w14:paraId="6F66C9B1" w14:textId="77D21A70" w:rsidR="00307A2F" w:rsidRPr="00307A2F" w:rsidRDefault="00307A2F" w:rsidP="00307A2F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>Согласно подпунктам 2), 3) статьи 665, подпункту 1) части 1 статьи 667 КоАП, неправильное применение закона об административной ответственности, существенное нарушение процессуальных норм закона являются основанием к отмене постановления по делу об административном правонарушении. По разъяснениям, содержащимся в пункте 21 нормативного постановления Верховного Суда №18 от 26 ноября 2004 года «О некоторых вопросах применения судами законодательства об административных правонарушениях», в случае необоснованного прекращения производства по делу об административном правонарушении суды, правомочные пересматривать постановления по делам об административных правонарушениях, не вправе исследовать доказательства и могут лишь отменить оспариваемый судебный акт, возобновить производство по делу и направить его на новое рассмотрение.</w:t>
      </w:r>
    </w:p>
    <w:p w14:paraId="6EA4E207" w14:textId="2A6631EA" w:rsidR="00CF5BD5" w:rsidRPr="00307A2F" w:rsidRDefault="00CF5BD5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5B0F4" w14:textId="62B25D66" w:rsidR="00CF5BD5" w:rsidRPr="00307A2F" w:rsidRDefault="00CF5BD5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60D4F" w14:textId="3629882F" w:rsidR="00CF5BD5" w:rsidRPr="00307A2F" w:rsidRDefault="00CF5BD5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E7522" w14:textId="3A2F50D5" w:rsidR="00F96E54" w:rsidRPr="00307A2F" w:rsidRDefault="002A1A72" w:rsidP="00307A2F">
      <w:pPr>
        <w:jc w:val="both"/>
        <w:rPr>
          <w:rFonts w:ascii="Times New Roman" w:hAnsi="Times New Roman" w:cs="Times New Roman"/>
          <w:sz w:val="24"/>
          <w:szCs w:val="24"/>
        </w:rPr>
      </w:pPr>
      <w:r w:rsidRPr="00307A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CC855" w14:textId="57D342E4" w:rsidR="00F173BA" w:rsidRPr="00307A2F" w:rsidRDefault="00F173BA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BA15D2" w14:textId="23E3EFD5" w:rsidR="00F173BA" w:rsidRPr="00307A2F" w:rsidRDefault="00F173BA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749059" w14:textId="64D29B98" w:rsidR="00F173BA" w:rsidRPr="00307A2F" w:rsidRDefault="00F173BA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A7FA65" w14:textId="0D3DEF47" w:rsidR="00F173BA" w:rsidRPr="00307A2F" w:rsidRDefault="00F173BA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307A2F" w:rsidRDefault="00F173BA" w:rsidP="00307A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307A2F" w:rsidRDefault="00F173BA" w:rsidP="002570B0"/>
    <w:p w14:paraId="02403F08" w14:textId="75BEB719" w:rsidR="00F173BA" w:rsidRPr="00307A2F" w:rsidRDefault="00F173BA" w:rsidP="002570B0"/>
    <w:p w14:paraId="308325D5" w14:textId="324F2E94" w:rsidR="00F173BA" w:rsidRPr="00307A2F" w:rsidRDefault="00F173BA" w:rsidP="002570B0"/>
    <w:p w14:paraId="22BAA135" w14:textId="6CC745FE" w:rsidR="00F173BA" w:rsidRPr="00307A2F" w:rsidRDefault="00F173BA" w:rsidP="002570B0"/>
    <w:p w14:paraId="33D51603" w14:textId="10BA4AEF" w:rsidR="00F173BA" w:rsidRPr="00307A2F" w:rsidRDefault="00F173BA" w:rsidP="002570B0"/>
    <w:p w14:paraId="55D95E22" w14:textId="0EFD17BF" w:rsidR="00F173BA" w:rsidRPr="00307A2F" w:rsidRDefault="00F173BA" w:rsidP="002570B0"/>
    <w:p w14:paraId="1E84A240" w14:textId="61513D00" w:rsidR="00F173BA" w:rsidRPr="00307A2F" w:rsidRDefault="00F173BA" w:rsidP="002570B0"/>
    <w:p w14:paraId="049E1B58" w14:textId="408BB97D" w:rsidR="00F173BA" w:rsidRPr="00307A2F" w:rsidRDefault="00F173BA" w:rsidP="002570B0"/>
    <w:p w14:paraId="3F19C72F" w14:textId="49CAEBA5" w:rsidR="00F173BA" w:rsidRPr="00307A2F" w:rsidRDefault="00F173BA" w:rsidP="00F173BA">
      <w:pPr>
        <w:tabs>
          <w:tab w:val="left" w:pos="6948"/>
        </w:tabs>
      </w:pPr>
      <w:r w:rsidRPr="00307A2F">
        <w:tab/>
      </w:r>
    </w:p>
    <w:sectPr w:rsidR="00F173BA" w:rsidRPr="00307A2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B3411" w14:textId="77777777" w:rsidR="00421596" w:rsidRDefault="00421596" w:rsidP="00702393">
      <w:pPr>
        <w:spacing w:after="0" w:line="240" w:lineRule="auto"/>
      </w:pPr>
      <w:r>
        <w:separator/>
      </w:r>
    </w:p>
  </w:endnote>
  <w:endnote w:type="continuationSeparator" w:id="0">
    <w:p w14:paraId="0ABE28EB" w14:textId="77777777" w:rsidR="00421596" w:rsidRDefault="0042159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A283B" w14:textId="77777777" w:rsidR="00421596" w:rsidRDefault="00421596" w:rsidP="00702393">
      <w:pPr>
        <w:spacing w:after="0" w:line="240" w:lineRule="auto"/>
      </w:pPr>
      <w:r>
        <w:separator/>
      </w:r>
    </w:p>
  </w:footnote>
  <w:footnote w:type="continuationSeparator" w:id="0">
    <w:p w14:paraId="0BB99212" w14:textId="77777777" w:rsidR="00421596" w:rsidRDefault="0042159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B84189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</w:t>
    </w:r>
    <w:r w:rsidR="005A1AAD">
      <w:rPr>
        <w:noProof/>
        <w:lang w:eastAsia="ru-RU"/>
      </w:rPr>
      <w:drawing>
        <wp:inline distT="0" distB="0" distL="0" distR="0" wp14:anchorId="06B6E19D" wp14:editId="30FA0A65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0A4D">
      <w:rPr>
        <w:lang w:val="en-US"/>
      </w:rPr>
      <w:t xml:space="preserve">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52128"/>
    <w:rsid w:val="001539CF"/>
    <w:rsid w:val="00193E1B"/>
    <w:rsid w:val="001C5801"/>
    <w:rsid w:val="00250A46"/>
    <w:rsid w:val="002570B0"/>
    <w:rsid w:val="002A1A72"/>
    <w:rsid w:val="002B659E"/>
    <w:rsid w:val="00307A2F"/>
    <w:rsid w:val="00327D34"/>
    <w:rsid w:val="00327E86"/>
    <w:rsid w:val="0033507A"/>
    <w:rsid w:val="0036612E"/>
    <w:rsid w:val="00396063"/>
    <w:rsid w:val="003C77EA"/>
    <w:rsid w:val="003E3623"/>
    <w:rsid w:val="00421596"/>
    <w:rsid w:val="00442855"/>
    <w:rsid w:val="005A1AAD"/>
    <w:rsid w:val="005F12B6"/>
    <w:rsid w:val="006B0A4D"/>
    <w:rsid w:val="006E2D0A"/>
    <w:rsid w:val="00702393"/>
    <w:rsid w:val="00712C1B"/>
    <w:rsid w:val="00722D19"/>
    <w:rsid w:val="008A7236"/>
    <w:rsid w:val="008E7DF6"/>
    <w:rsid w:val="0091354D"/>
    <w:rsid w:val="0094655E"/>
    <w:rsid w:val="009E6904"/>
    <w:rsid w:val="00A23573"/>
    <w:rsid w:val="00A45B15"/>
    <w:rsid w:val="00B31BDB"/>
    <w:rsid w:val="00BD7730"/>
    <w:rsid w:val="00C16D9C"/>
    <w:rsid w:val="00CB275A"/>
    <w:rsid w:val="00CF5BD5"/>
    <w:rsid w:val="00D02DFB"/>
    <w:rsid w:val="00DB660C"/>
    <w:rsid w:val="00E61D37"/>
    <w:rsid w:val="00EE78AD"/>
    <w:rsid w:val="00F173BA"/>
    <w:rsid w:val="00F96E54"/>
    <w:rsid w:val="00FA6AFB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67C3A3EE-04F1-480F-9EEB-E31698AA5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30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7A2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50A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2021-09-02T15:21:00Z</dcterms:modified>
</cp:coreProperties>
</file>