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E3DC9" w14:textId="38148C5D" w:rsidR="009E2296" w:rsidRPr="00650838" w:rsidRDefault="00AA411A" w:rsidP="006508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838">
        <w:rPr>
          <w:rFonts w:ascii="Times New Roman" w:hAnsi="Times New Roman" w:cs="Times New Roman"/>
          <w:b/>
          <w:bCs/>
          <w:sz w:val="24"/>
          <w:szCs w:val="24"/>
        </w:rPr>
        <w:t>Нарушения законодательства об архитектурной деятельности Проектно-сметная документация по объекту «Базовая станция сотовой связи» подлежит обязательной экспертизе</w:t>
      </w:r>
    </w:p>
    <w:p w14:paraId="745ABA62" w14:textId="77777777" w:rsidR="009E2296" w:rsidRPr="00650838" w:rsidRDefault="009E229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BD372D" w14:textId="77777777" w:rsidR="00650838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Отделом государственной архитектурно-строительной инспекции Государственного учреждения «Управление государственного </w:t>
      </w:r>
      <w:proofErr w:type="spellStart"/>
      <w:r w:rsidRPr="00650838">
        <w:rPr>
          <w:rFonts w:ascii="Times New Roman" w:hAnsi="Times New Roman" w:cs="Times New Roman"/>
          <w:sz w:val="24"/>
          <w:szCs w:val="24"/>
        </w:rPr>
        <w:t>архитектурностроительного</w:t>
      </w:r>
      <w:proofErr w:type="spellEnd"/>
      <w:r w:rsidRPr="00650838">
        <w:rPr>
          <w:rFonts w:ascii="Times New Roman" w:hAnsi="Times New Roman" w:cs="Times New Roman"/>
          <w:sz w:val="24"/>
          <w:szCs w:val="24"/>
        </w:rPr>
        <w:t xml:space="preserve"> контроля акимата Костанайской области» в период с 20 по 25 января 2017 года в отношении Товарищества на объекте «Базовая станция сотовой связи», расположенном по адресу: село Первомайская, улица Пушкина, дом 7, Мендыкаринского района, проведена внеплановая проверка по вопросу соблюдения норм законодательства в области архитектуры, градостроительства и строительства. </w:t>
      </w:r>
    </w:p>
    <w:p w14:paraId="596064EF" w14:textId="77777777" w:rsidR="00650838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В ходе проверки установлено, что Товарищество выполнило строительство базовой станции сотовой связи по проектно-сметной документации, не прошедшей в установленном порядке экспертизу, что является нарушением требований пункта 2 статьи 64-1 Закона Республики Казахстан «Об архитектурной, градостроительной и строительной деятельности в Республике Казахстан» от 16 июля 2001 года (далее – Закон) и влечет административную ответственность по части 1 статьи 316 Кодекса Республики Казахстан об административных правонарушениях (далее – КоАП).. </w:t>
      </w:r>
    </w:p>
    <w:p w14:paraId="2B8C23A6" w14:textId="77777777" w:rsidR="00650838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По данному факту в отношении Товарищества составлен протокол об административном правонарушении № 16 от 25 января 2017 года по части 1 статьи 316 КоАП. Постановлением главного государственного строительного инспектора Костанайской области от 26 января 2017 года Товарищество привлечено к административной ответственности по вышеупомянутой статье КоАП с наложением административного взыскания в виде штрафа в размере 580 месячных расчетных показателей – в сумме 1 316 020 тенге. </w:t>
      </w:r>
    </w:p>
    <w:p w14:paraId="5507ECB3" w14:textId="3FC47C4A" w:rsidR="00650838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Постановлением специализированного административного суда города Костанай от 22 февраля 2017 года указанное постановление по жалобе Товарищества отменено, производство по делу об </w:t>
      </w:r>
      <w:hyperlink r:id="rId6" w:history="1">
        <w:r w:rsidRPr="00F12F29">
          <w:rPr>
            <w:rStyle w:val="aa"/>
            <w:rFonts w:ascii="Times New Roman" w:hAnsi="Times New Roman" w:cs="Times New Roman"/>
            <w:sz w:val="24"/>
            <w:szCs w:val="24"/>
          </w:rPr>
          <w:t>административном правонарушении прекращено</w:t>
        </w:r>
      </w:hyperlink>
      <w:r w:rsidRPr="00650838">
        <w:rPr>
          <w:rFonts w:ascii="Times New Roman" w:hAnsi="Times New Roman" w:cs="Times New Roman"/>
          <w:sz w:val="24"/>
          <w:szCs w:val="24"/>
        </w:rPr>
        <w:t xml:space="preserve"> за отсутствием в его действиях состава административного правонарушения, предусмотренного частью 1 статьи 316 КоАП. В представлении Председатель Верховного Суда Республики Казахстан предлагает пересмотреть вынесенный по делу судебный акт в кассационном порядке ввиду нарушения единообразия в толковании и применении судами норм права. </w:t>
      </w:r>
    </w:p>
    <w:p w14:paraId="1A6C5232" w14:textId="77777777" w:rsidR="00AD766A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Состав административного правонарушения по части 1 статьи 316 КоАП образуется при осуществлении строительства (реконструкции, реставрации, расширении, техническом перевооружении, модернизации, капитальном ремонте) объектов и их комплексов без проектной (проектно-сметной) документации либо по проектной (проектно-сметной) документации, не прошедшей в установленном порядке экспертизу, по которой требуется ее проведение. </w:t>
      </w:r>
    </w:p>
    <w:p w14:paraId="5AC70CAB" w14:textId="77777777" w:rsidR="00AD766A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Суд, прекращая производство по делу, мотивировал тем, что </w:t>
      </w:r>
      <w:proofErr w:type="spellStart"/>
      <w:r w:rsidRPr="00650838">
        <w:rPr>
          <w:rFonts w:ascii="Times New Roman" w:hAnsi="Times New Roman" w:cs="Times New Roman"/>
          <w:sz w:val="24"/>
          <w:szCs w:val="24"/>
        </w:rPr>
        <w:t>проектносметная</w:t>
      </w:r>
      <w:proofErr w:type="spellEnd"/>
      <w:r w:rsidRPr="00650838">
        <w:rPr>
          <w:rFonts w:ascii="Times New Roman" w:hAnsi="Times New Roman" w:cs="Times New Roman"/>
          <w:sz w:val="24"/>
          <w:szCs w:val="24"/>
        </w:rPr>
        <w:t xml:space="preserve"> документация на строительство базовой станции сотовой связи не нуждается в прохождении экспертизы, так как опоры связи и мобильные комплексы контейнерного и блочного исполнения относятся к объектам III (пониженного) уровня ответственности и технически несложным объектам. </w:t>
      </w:r>
    </w:p>
    <w:p w14:paraId="5BECF40C" w14:textId="77777777" w:rsidR="00AD766A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Указанные выводы суда не соответствуют закону и обстоятельствам, имеющим значение для дела. Судом базовая станция сотовой связи рассматривается как мобильный </w:t>
      </w:r>
      <w:r w:rsidRPr="00650838">
        <w:rPr>
          <w:rFonts w:ascii="Times New Roman" w:hAnsi="Times New Roman" w:cs="Times New Roman"/>
          <w:sz w:val="24"/>
          <w:szCs w:val="24"/>
        </w:rPr>
        <w:lastRenderedPageBreak/>
        <w:t xml:space="preserve">комплекс контейнерного и блочного исполнения с имеющейся на нем опорой. Вместе с тем согласно СНиП РК </w:t>
      </w:r>
      <w:proofErr w:type="gramStart"/>
      <w:r w:rsidRPr="00650838">
        <w:rPr>
          <w:rFonts w:ascii="Times New Roman" w:hAnsi="Times New Roman" w:cs="Times New Roman"/>
          <w:sz w:val="24"/>
          <w:szCs w:val="24"/>
        </w:rPr>
        <w:t>1.01-32-2005</w:t>
      </w:r>
      <w:proofErr w:type="gramEnd"/>
      <w:r w:rsidRPr="00650838">
        <w:rPr>
          <w:rFonts w:ascii="Times New Roman" w:hAnsi="Times New Roman" w:cs="Times New Roman"/>
          <w:sz w:val="24"/>
          <w:szCs w:val="24"/>
        </w:rPr>
        <w:t xml:space="preserve"> «Строительная терминология» мобильным (инвентарным) зданием или сооружением контейнерного сборного-разборного типа является мобильное (инвентарное) здание или сооружение, состоящее из одного блок-контейнера полной заводской готовности, передислоцируемое на любых пригодных транспортных средствах, в том числе на собственной ходовой части. </w:t>
      </w:r>
    </w:p>
    <w:p w14:paraId="470EE31E" w14:textId="77777777" w:rsidR="00AD766A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Конструкции мобильных (инвентарных) зданий и сооружений должны состоять из блок-контейнера и собственной ходовой части мобильного инвентарного здания или сооружения. Суд не учел тот факт, что опора является элементом базовой станции, необходимым для закрепления антенного устройства, а не отдельным объектом. Базовая станция сотовой связи является объектом, включающим в себя комплекс приемопередающего радиооборудования, </w:t>
      </w:r>
      <w:proofErr w:type="spellStart"/>
      <w:r w:rsidRPr="00650838">
        <w:rPr>
          <w:rFonts w:ascii="Times New Roman" w:hAnsi="Times New Roman" w:cs="Times New Roman"/>
          <w:sz w:val="24"/>
          <w:szCs w:val="24"/>
        </w:rPr>
        <w:t>антеннофидерные</w:t>
      </w:r>
      <w:proofErr w:type="spellEnd"/>
      <w:r w:rsidRPr="00650838">
        <w:rPr>
          <w:rFonts w:ascii="Times New Roman" w:hAnsi="Times New Roman" w:cs="Times New Roman"/>
          <w:sz w:val="24"/>
          <w:szCs w:val="24"/>
        </w:rPr>
        <w:t xml:space="preserve"> устройства, оборудование соединительной линии, размещенные в контейнере. </w:t>
      </w:r>
    </w:p>
    <w:p w14:paraId="4709B922" w14:textId="77777777" w:rsidR="005C1DA2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Таким образом, объект состоит из двух частей: из антенно-мачтового сооружения и комплекса контейнерного исполнения, не являвшегося мобильным по способу крепления грунту. В связи с чем его нельзя отнести ни к отдельной мобильной конструкции, ни к отдельной антенне-мачте, а следует относить к комплексному объекту, объединяющему оба сооружения в единое целое, и к последнему предъявляются требования как объекту II уровня ответственности. </w:t>
      </w:r>
    </w:p>
    <w:p w14:paraId="15381A6D" w14:textId="77777777" w:rsidR="005C1DA2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В соответствии с пунктом 9 «Правил определения общего порядка отнесения зданий и сооружений к технически и (или) технологически сложным объектам», утвержденных Приказом Министра национальной экономики Республики Казахстан № 165 от 28 февраля 2015 года, уровень ответственности проектируемого объекта определяется заказчиком по перечисленным в данном пункте параметрам и в соответствии с указанными в подпункте 2) параметрами к объектам II (нормального) уровня ответственности подлежат линейно-кабельные сооружения магистральных линий связи, телевизионные башни и антенно-мачтовые сооружения связи высотой до 100 метров. </w:t>
      </w:r>
    </w:p>
    <w:p w14:paraId="3DC8DE3B" w14:textId="77777777" w:rsidR="005C1DA2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Согласно подпункту 3) пункта 2 статьи </w:t>
      </w:r>
      <w:proofErr w:type="gramStart"/>
      <w:r w:rsidRPr="00650838">
        <w:rPr>
          <w:rFonts w:ascii="Times New Roman" w:hAnsi="Times New Roman" w:cs="Times New Roman"/>
          <w:sz w:val="24"/>
          <w:szCs w:val="24"/>
        </w:rPr>
        <w:t>64-1</w:t>
      </w:r>
      <w:proofErr w:type="gramEnd"/>
      <w:r w:rsidRPr="00650838">
        <w:rPr>
          <w:rFonts w:ascii="Times New Roman" w:hAnsi="Times New Roman" w:cs="Times New Roman"/>
          <w:sz w:val="24"/>
          <w:szCs w:val="24"/>
        </w:rPr>
        <w:t xml:space="preserve"> Закона, обязательной экспертизе подлежит проектно-сметная документация, предназначенная для строительства объектов, финансируемых без участия бюджетных средств или иных форм государственных инвестиций, за исключением проектов строительства технически несложных объектов, приведенных в пункте 4 настоящей статьи. Проект объекта не входит в перечень объектов, приведенных в пункте 4 указанной статьи. </w:t>
      </w:r>
    </w:p>
    <w:p w14:paraId="1A0633AD" w14:textId="77777777" w:rsidR="005C1DA2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Исходя из вышеизложенных обстоятельств, проектно-сметная документация по указанному объекту – «Базовая станция сотовой связи» – подлежит обязательной экспертизе. Однако, несмотря на это, строительство объекта Товариществом осуществлено с нарушением норм действующего законодательства, что свидетельствуют о наличии в его действиях состава вмененного административного правонарушения. </w:t>
      </w:r>
    </w:p>
    <w:p w14:paraId="430A70F6" w14:textId="692ED699" w:rsidR="005C1DA2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Следовательно, отсутствовали правовые основания для отмены постановления уполномоченного органа и прекращения производства по делу об административном правонарушении в отношении Товарищества по части 1 статьи 316 КоАП. Принятый судебный акт </w:t>
      </w:r>
      <w:hyperlink r:id="rId7" w:history="1">
        <w:r w:rsidRPr="004964D8">
          <w:rPr>
            <w:rStyle w:val="aa"/>
            <w:rFonts w:ascii="Times New Roman" w:hAnsi="Times New Roman" w:cs="Times New Roman"/>
            <w:sz w:val="24"/>
            <w:szCs w:val="24"/>
          </w:rPr>
          <w:t>нарушает единообразие в толковании и применении</w:t>
        </w:r>
      </w:hyperlink>
      <w:r w:rsidRPr="00650838">
        <w:rPr>
          <w:rFonts w:ascii="Times New Roman" w:hAnsi="Times New Roman" w:cs="Times New Roman"/>
          <w:sz w:val="24"/>
          <w:szCs w:val="24"/>
        </w:rPr>
        <w:t xml:space="preserve"> судами норм права, что в соответствии с подпунктом 3) части 5 статьи 851 КоАП влечет их пересмотр. </w:t>
      </w:r>
    </w:p>
    <w:p w14:paraId="00379CCD" w14:textId="7AF924EC" w:rsidR="00A81D5F" w:rsidRPr="00650838" w:rsidRDefault="009E2296" w:rsidP="0065083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 xml:space="preserve">Специализированная судебная коллегия Верховного Суда отменила постановление суда первой инстанции в отношении товарищества с ограниченной ответственностью «М» от </w:t>
      </w:r>
      <w:r w:rsidRPr="00650838">
        <w:rPr>
          <w:rFonts w:ascii="Times New Roman" w:hAnsi="Times New Roman" w:cs="Times New Roman"/>
          <w:sz w:val="24"/>
          <w:szCs w:val="24"/>
        </w:rPr>
        <w:lastRenderedPageBreak/>
        <w:t>22 февраля 2017 года, оставив в силе постановление главного государственного строительного инспектора Костанайской области от 26 января 2017 года Представление Председателя Верховного Суда Республики Казахстан удовлетворено.</w:t>
      </w:r>
      <w:r w:rsidR="00CF5BD5" w:rsidRPr="00650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5083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5083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5083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5083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C52FF" w14:textId="77777777" w:rsidR="00BC3C2C" w:rsidRDefault="00BC3C2C" w:rsidP="00702393">
      <w:pPr>
        <w:spacing w:after="0" w:line="240" w:lineRule="auto"/>
      </w:pPr>
      <w:r>
        <w:separator/>
      </w:r>
    </w:p>
  </w:endnote>
  <w:endnote w:type="continuationSeparator" w:id="0">
    <w:p w14:paraId="77019DF3" w14:textId="77777777" w:rsidR="00BC3C2C" w:rsidRDefault="00BC3C2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9DC85" w14:textId="77777777" w:rsidR="00BC3C2C" w:rsidRDefault="00BC3C2C" w:rsidP="00702393">
      <w:pPr>
        <w:spacing w:after="0" w:line="240" w:lineRule="auto"/>
      </w:pPr>
      <w:r>
        <w:separator/>
      </w:r>
    </w:p>
  </w:footnote>
  <w:footnote w:type="continuationSeparator" w:id="0">
    <w:p w14:paraId="3AD77CBD" w14:textId="77777777" w:rsidR="00BC3C2C" w:rsidRDefault="00BC3C2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964D8"/>
    <w:rsid w:val="005A3B78"/>
    <w:rsid w:val="005C1DA2"/>
    <w:rsid w:val="0065083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2296"/>
    <w:rsid w:val="009E6904"/>
    <w:rsid w:val="00A23573"/>
    <w:rsid w:val="00A45B15"/>
    <w:rsid w:val="00A81D5F"/>
    <w:rsid w:val="00AA411A"/>
    <w:rsid w:val="00AD3952"/>
    <w:rsid w:val="00AD766A"/>
    <w:rsid w:val="00B31BDB"/>
    <w:rsid w:val="00BC3C2C"/>
    <w:rsid w:val="00BD7730"/>
    <w:rsid w:val="00C16D9C"/>
    <w:rsid w:val="00CB275A"/>
    <w:rsid w:val="00CF5BD5"/>
    <w:rsid w:val="00D02DFB"/>
    <w:rsid w:val="00DB660C"/>
    <w:rsid w:val="00EE78AD"/>
    <w:rsid w:val="00F12F29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64D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96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2021-11-26T14:19:00Z</dcterms:modified>
</cp:coreProperties>
</file>