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77D3A" w14:textId="7A0175E0" w:rsidR="00303222" w:rsidRPr="003C24E2" w:rsidRDefault="007E5272" w:rsidP="003C24E2">
      <w:pPr>
        <w:jc w:val="center"/>
        <w:rPr>
          <w:rFonts w:ascii="Times New Roman" w:hAnsi="Times New Roman" w:cs="Times New Roman"/>
          <w:b/>
          <w:bCs/>
          <w:sz w:val="24"/>
          <w:szCs w:val="24"/>
        </w:rPr>
      </w:pPr>
      <w:r w:rsidRPr="003C24E2">
        <w:rPr>
          <w:rFonts w:ascii="Times New Roman" w:hAnsi="Times New Roman" w:cs="Times New Roman"/>
          <w:b/>
          <w:bCs/>
          <w:sz w:val="24"/>
          <w:szCs w:val="24"/>
        </w:rPr>
        <w:t>Классификация товаров по Товарной номенклатуре внешнеэкономической деятельности Евразийского экономического союза (далее – ТН ВЭД ЕАЭС)</w:t>
      </w:r>
    </w:p>
    <w:p w14:paraId="366C1D5A" w14:textId="77777777" w:rsidR="00303222" w:rsidRPr="003C24E2" w:rsidRDefault="00303222" w:rsidP="00A81D5F">
      <w:pPr>
        <w:jc w:val="both"/>
        <w:rPr>
          <w:rFonts w:ascii="Times New Roman" w:hAnsi="Times New Roman" w:cs="Times New Roman"/>
          <w:sz w:val="24"/>
          <w:szCs w:val="24"/>
        </w:rPr>
      </w:pPr>
    </w:p>
    <w:p w14:paraId="0B310AF0" w14:textId="77777777" w:rsidR="003C24E2" w:rsidRDefault="00303222" w:rsidP="003C24E2">
      <w:pPr>
        <w:ind w:firstLine="720"/>
        <w:jc w:val="both"/>
        <w:rPr>
          <w:rFonts w:ascii="Times New Roman" w:hAnsi="Times New Roman" w:cs="Times New Roman"/>
          <w:sz w:val="24"/>
          <w:szCs w:val="24"/>
        </w:rPr>
      </w:pPr>
      <w:r w:rsidRPr="003C24E2">
        <w:rPr>
          <w:rFonts w:ascii="Times New Roman" w:hAnsi="Times New Roman" w:cs="Times New Roman"/>
          <w:sz w:val="24"/>
          <w:szCs w:val="24"/>
        </w:rPr>
        <w:t xml:space="preserve">Классификация товаров по Товарной номенклатуре внешнеэкономической деятельности является одним из наиболее актуальных вопросов для участников внешнеэкономической деятельности. Правильная классификация товара по ТН ВЭД имеет важное экономическое и правовое значение. </w:t>
      </w:r>
    </w:p>
    <w:p w14:paraId="27DC13FA" w14:textId="77777777" w:rsidR="003C24E2" w:rsidRDefault="00303222" w:rsidP="003C24E2">
      <w:pPr>
        <w:ind w:firstLine="720"/>
        <w:jc w:val="both"/>
        <w:rPr>
          <w:rFonts w:ascii="Times New Roman" w:hAnsi="Times New Roman" w:cs="Times New Roman"/>
          <w:sz w:val="24"/>
          <w:szCs w:val="24"/>
        </w:rPr>
      </w:pPr>
      <w:r w:rsidRPr="003C24E2">
        <w:rPr>
          <w:rFonts w:ascii="Times New Roman" w:hAnsi="Times New Roman" w:cs="Times New Roman"/>
          <w:sz w:val="24"/>
          <w:szCs w:val="24"/>
        </w:rPr>
        <w:t xml:space="preserve">Во-первых, от того, к какому классификационному коду ТН ВЭД ЕАЭС будет отнесен товар, зависит ставка ввозной/вывозной таможенной пошлины, и, соответственно, размер уплачиваемых таможенных платежей, применение к товарам и транспортным средствам нетарифных мер, запретов и ограничений. Во-вторых, отнесение товара к тому или иному классификационному коду ТН ВЭД ЕАЭС требует зачастую наличия специальных технических знаний и проведения дополнительных экспертиз, связанных с определением технических характеристик товаров, способов его производства и т.д. </w:t>
      </w:r>
    </w:p>
    <w:p w14:paraId="63BB071F" w14:textId="77777777" w:rsidR="003C24E2" w:rsidRDefault="00303222" w:rsidP="003C24E2">
      <w:pPr>
        <w:ind w:firstLine="720"/>
        <w:jc w:val="both"/>
        <w:rPr>
          <w:rFonts w:ascii="Times New Roman" w:hAnsi="Times New Roman" w:cs="Times New Roman"/>
          <w:sz w:val="24"/>
          <w:szCs w:val="24"/>
        </w:rPr>
      </w:pPr>
      <w:r w:rsidRPr="003C24E2">
        <w:rPr>
          <w:rFonts w:ascii="Times New Roman" w:hAnsi="Times New Roman" w:cs="Times New Roman"/>
          <w:sz w:val="24"/>
          <w:szCs w:val="24"/>
        </w:rPr>
        <w:t xml:space="preserve">Точность классификации товаров имеет большое значение и для повышения объективности таможенной статистики внешней торговли, используемой при выработке таможенной политики государств-членов Евразийского экономического союза и принятии конкретных мер по ее реализации в процессе таможенного оформления и контроля товаров и транспортных средств. В российской юридической литературе высказывается мнение о том, что «ни должностные лица таможенных органов, ни декларанты не могут принимать юридически правильные решения в отношении классификации товара по ТН ВЭД без соответствующих научно обоснованных рекомендаций по классификации товара». </w:t>
      </w:r>
    </w:p>
    <w:p w14:paraId="26C1BCAB" w14:textId="77777777" w:rsidR="003C24E2" w:rsidRDefault="00303222" w:rsidP="003C24E2">
      <w:pPr>
        <w:ind w:firstLine="720"/>
        <w:jc w:val="both"/>
        <w:rPr>
          <w:rFonts w:ascii="Times New Roman" w:hAnsi="Times New Roman" w:cs="Times New Roman"/>
          <w:sz w:val="24"/>
          <w:szCs w:val="24"/>
        </w:rPr>
      </w:pPr>
      <w:r w:rsidRPr="003C24E2">
        <w:rPr>
          <w:rFonts w:ascii="Times New Roman" w:hAnsi="Times New Roman" w:cs="Times New Roman"/>
          <w:sz w:val="24"/>
          <w:szCs w:val="24"/>
        </w:rPr>
        <w:t xml:space="preserve">По мнению российских ученых, «особенностью такой классификации является то, что она имеет юридическое, а не товароведческое значение, что часто не учитывается как должностными лицами таможенных органов, так и судьями, рассматривающими спорные ситуации между декларантами и таможенными органами». </w:t>
      </w:r>
    </w:p>
    <w:p w14:paraId="6455AAB7" w14:textId="77777777" w:rsidR="003C24E2" w:rsidRDefault="00303222" w:rsidP="003C24E2">
      <w:pPr>
        <w:ind w:firstLine="720"/>
        <w:jc w:val="both"/>
        <w:rPr>
          <w:rFonts w:ascii="Times New Roman" w:hAnsi="Times New Roman" w:cs="Times New Roman"/>
          <w:sz w:val="24"/>
          <w:szCs w:val="24"/>
        </w:rPr>
      </w:pPr>
      <w:r w:rsidRPr="003C24E2">
        <w:rPr>
          <w:rFonts w:ascii="Times New Roman" w:hAnsi="Times New Roman" w:cs="Times New Roman"/>
          <w:sz w:val="24"/>
          <w:szCs w:val="24"/>
        </w:rPr>
        <w:t xml:space="preserve">В соответствии со статьей 51 ТК ТС Товарная номенклатура внешнеэкономической деятельности основывается на Гармонизированной системе описания и кодирования товаров Всемирной таможенной организации. Гармонизированная система описания и кодирования товаров (ГС) – это международная многоцелевая классификационная система, администрируемая Всемирной таможенной организацией, предназначенная для использования странами при разработке таможенного тарифа и ведения статистического учета внешнеторговых операций, организации транспортно-экспедиторских операций и т. д. ГС состоит из номенклатуры, содержащей в себе товарные позиции, субпозиции и относящиеся к ним цифровые коды, примечаний к разделам, группам и субпозициям, а также основных правил классификации для толкования ГС. Первые шесть знаков кода номенклатуры ГС используются универсально в любой ТН ВЭД (национальной или межгосударственной) без изменений. </w:t>
      </w:r>
    </w:p>
    <w:p w14:paraId="5166E67E" w14:textId="77777777" w:rsidR="003C24E2" w:rsidRDefault="00303222" w:rsidP="003C24E2">
      <w:pPr>
        <w:ind w:firstLine="720"/>
        <w:jc w:val="both"/>
        <w:rPr>
          <w:rFonts w:ascii="Times New Roman" w:hAnsi="Times New Roman" w:cs="Times New Roman"/>
          <w:sz w:val="24"/>
          <w:szCs w:val="24"/>
        </w:rPr>
      </w:pPr>
      <w:r w:rsidRPr="003C24E2">
        <w:rPr>
          <w:rFonts w:ascii="Times New Roman" w:hAnsi="Times New Roman" w:cs="Times New Roman"/>
          <w:sz w:val="24"/>
          <w:szCs w:val="24"/>
        </w:rPr>
        <w:t xml:space="preserve">Структура международных товаропотоков постоянно меняется, в связи с чем появляется необходимость периодически обновлять номенклатуру ГС, Всемирная таможенная организация раз в пять лет утверждает новую редакцию номенклатуры ГС. Законом от 3 февраля 2004 года № 525-II Республика Казахстан присоединилась к Международной конвенции о гармонизированной системе описания и кодирования товаров (Брюссель, 14 июня 1983 года). </w:t>
      </w:r>
    </w:p>
    <w:p w14:paraId="2698A2A0" w14:textId="77777777" w:rsidR="003C24E2" w:rsidRDefault="00303222" w:rsidP="003C24E2">
      <w:pPr>
        <w:ind w:firstLine="720"/>
        <w:jc w:val="both"/>
        <w:rPr>
          <w:rFonts w:ascii="Times New Roman" w:hAnsi="Times New Roman" w:cs="Times New Roman"/>
          <w:sz w:val="24"/>
          <w:szCs w:val="24"/>
        </w:rPr>
      </w:pPr>
      <w:r w:rsidRPr="003C24E2">
        <w:rPr>
          <w:rFonts w:ascii="Times New Roman" w:hAnsi="Times New Roman" w:cs="Times New Roman"/>
          <w:sz w:val="24"/>
          <w:szCs w:val="24"/>
        </w:rPr>
        <w:lastRenderedPageBreak/>
        <w:t xml:space="preserve">На территории Евразийского экономического союза действует Единая Товарная номенклатура внешнеэкономической деятельности Евразийского экономического союза, утвержденная решением Совета ЕЭК от 16 июля 2012 года № 54. С ТН ВЭД ЕАЭС систематизирован Единый таможенный тариф Евразийского экономического союза (ЕТТ ЕАЭС) – свод ставок ввозных таможенных пошлин, применяемых к товарам, ввозимым (ввезенным) на таможенную территорию Евразийского экономического союза из третьих стран. </w:t>
      </w:r>
    </w:p>
    <w:p w14:paraId="44FD6BF6" w14:textId="77777777" w:rsidR="003C24E2" w:rsidRDefault="00303222" w:rsidP="003C24E2">
      <w:pPr>
        <w:ind w:firstLine="720"/>
        <w:jc w:val="both"/>
        <w:rPr>
          <w:rFonts w:ascii="Times New Roman" w:hAnsi="Times New Roman" w:cs="Times New Roman"/>
          <w:sz w:val="24"/>
          <w:szCs w:val="24"/>
        </w:rPr>
      </w:pPr>
      <w:r w:rsidRPr="003C24E2">
        <w:rPr>
          <w:rFonts w:ascii="Times New Roman" w:hAnsi="Times New Roman" w:cs="Times New Roman"/>
          <w:sz w:val="24"/>
          <w:szCs w:val="24"/>
        </w:rPr>
        <w:t xml:space="preserve">В связи с введением в действие 6-го издания Гармонизированной системы описания и кодирования товаров (изменились некоторые коды) решением Совета ЕЭК от 18 октября 2016 года № 101 утверждена новая редакция ТН ВЭД ЕАЭС и ЕТТ ЕАЭС, вступившая в силу с 1 января 2017 года. ТН ВЭД – это классификатор, который применяется для государственного регулирования экспорта и импорта товаров, то есть систематизированный перечень товаров, включающий наименования  товаров, их кодовое обозначение, единицы измерения количества товаров, а также примечания и правила интерпретации. </w:t>
      </w:r>
    </w:p>
    <w:p w14:paraId="75F878E8" w14:textId="77777777" w:rsidR="003C24E2" w:rsidRDefault="00303222" w:rsidP="003C24E2">
      <w:pPr>
        <w:ind w:firstLine="720"/>
        <w:jc w:val="both"/>
        <w:rPr>
          <w:rFonts w:ascii="Times New Roman" w:hAnsi="Times New Roman" w:cs="Times New Roman"/>
          <w:sz w:val="24"/>
          <w:szCs w:val="24"/>
        </w:rPr>
      </w:pPr>
      <w:r w:rsidRPr="003C24E2">
        <w:rPr>
          <w:rFonts w:ascii="Times New Roman" w:hAnsi="Times New Roman" w:cs="Times New Roman"/>
          <w:sz w:val="24"/>
          <w:szCs w:val="24"/>
        </w:rPr>
        <w:t xml:space="preserve">В целях обеспечения единообразия толкования ТН ВЭД на основании предложений таможенных органов ЕЭК принимает и публикует решения и разъяснения по классификации отдельных видов товаров (пункт 7 статьи 52 ТК ТС). Неотъемлемыми структурными элементами ТН ВЭД ЕАЭС, имеющими одинаковую юридическую силу, являются: - Основные правила интерпретации ТН ВЭД (далее – ОПИ); - Классификационная часть (Товарная номенклатура – перечень наименований товаров с 10-значными цифровыми кодами); - Примечания к разделам, группам, позициям, субпозициям, </w:t>
      </w:r>
      <w:proofErr w:type="spellStart"/>
      <w:r w:rsidRPr="003C24E2">
        <w:rPr>
          <w:rFonts w:ascii="Times New Roman" w:hAnsi="Times New Roman" w:cs="Times New Roman"/>
          <w:sz w:val="24"/>
          <w:szCs w:val="24"/>
        </w:rPr>
        <w:t>подсубпозициям</w:t>
      </w:r>
      <w:proofErr w:type="spellEnd"/>
      <w:r w:rsidRPr="003C24E2">
        <w:rPr>
          <w:rFonts w:ascii="Times New Roman" w:hAnsi="Times New Roman" w:cs="Times New Roman"/>
          <w:sz w:val="24"/>
          <w:szCs w:val="24"/>
        </w:rPr>
        <w:t xml:space="preserve">, а также дополнительные примечания (содержат указания об отнесении товара к данному уровню детализации или исключении из него). В ТН ВЭД ЕАЭС четко соблюдается принцип однозначного занесения товаров в классификационные группировки. </w:t>
      </w:r>
    </w:p>
    <w:p w14:paraId="2762FF49" w14:textId="77777777" w:rsidR="003C24E2" w:rsidRDefault="00303222" w:rsidP="003C24E2">
      <w:pPr>
        <w:ind w:firstLine="720"/>
        <w:jc w:val="both"/>
        <w:rPr>
          <w:rFonts w:ascii="Times New Roman" w:hAnsi="Times New Roman" w:cs="Times New Roman"/>
          <w:sz w:val="24"/>
          <w:szCs w:val="24"/>
        </w:rPr>
      </w:pPr>
      <w:r w:rsidRPr="003C24E2">
        <w:rPr>
          <w:rFonts w:ascii="Times New Roman" w:hAnsi="Times New Roman" w:cs="Times New Roman"/>
          <w:sz w:val="24"/>
          <w:szCs w:val="24"/>
        </w:rPr>
        <w:t xml:space="preserve">То есть для каждого товара имеется свое десятизначное кодовое обозначение. Первые две цифры обозначают товарную группу, первые четыре – товарную позицию, первые шесть – субпозицию, все десять – </w:t>
      </w:r>
      <w:proofErr w:type="spellStart"/>
      <w:r w:rsidRPr="003C24E2">
        <w:rPr>
          <w:rFonts w:ascii="Times New Roman" w:hAnsi="Times New Roman" w:cs="Times New Roman"/>
          <w:sz w:val="24"/>
          <w:szCs w:val="24"/>
        </w:rPr>
        <w:t>подсубпозицию</w:t>
      </w:r>
      <w:proofErr w:type="spellEnd"/>
      <w:r w:rsidRPr="003C24E2">
        <w:rPr>
          <w:rFonts w:ascii="Times New Roman" w:hAnsi="Times New Roman" w:cs="Times New Roman"/>
          <w:sz w:val="24"/>
          <w:szCs w:val="24"/>
        </w:rPr>
        <w:t xml:space="preserve">. Для непоименованных, особо не выделенных товаров существуют «корзиночные» товарные позиции, или «прочие». Описание товара в графе 31 декларации на товары должно быть полным согласно требованиям ТН ВЭД с указанием обязательных и дополнительных характеристик (если это предусмотрено таможенным законодательством ЕАЭС) и соответствовать коду товара по ТН ВЭД ЕАЭС в графе 33 ДТ. </w:t>
      </w:r>
    </w:p>
    <w:p w14:paraId="39AD8E29" w14:textId="207114DC" w:rsidR="003C24E2" w:rsidRDefault="00C26D39" w:rsidP="003C24E2">
      <w:pPr>
        <w:ind w:firstLine="720"/>
        <w:jc w:val="both"/>
        <w:rPr>
          <w:rFonts w:ascii="Times New Roman" w:hAnsi="Times New Roman" w:cs="Times New Roman"/>
          <w:sz w:val="24"/>
          <w:szCs w:val="24"/>
        </w:rPr>
      </w:pPr>
      <w:hyperlink r:id="rId6" w:history="1">
        <w:r w:rsidR="00303222" w:rsidRPr="00C26D39">
          <w:rPr>
            <w:rStyle w:val="aa"/>
            <w:rFonts w:ascii="Times New Roman" w:hAnsi="Times New Roman" w:cs="Times New Roman"/>
            <w:sz w:val="24"/>
            <w:szCs w:val="24"/>
          </w:rPr>
          <w:t>Классификационная часть номенклатуры содержит информацию</w:t>
        </w:r>
      </w:hyperlink>
      <w:r w:rsidR="00303222" w:rsidRPr="003C24E2">
        <w:rPr>
          <w:rFonts w:ascii="Times New Roman" w:hAnsi="Times New Roman" w:cs="Times New Roman"/>
          <w:sz w:val="24"/>
          <w:szCs w:val="24"/>
        </w:rPr>
        <w:t xml:space="preserve"> о единицах измерения товара, основной из которых является килограмм, остальные называются дополнительными. Примечание – текстовый материал, предшествующий классификационной части ТН ВЭД и уточняющий значения каждой классификационной группировки (поименованные в ТН ВЭД ЕАЭС совокупности товаров, имеющих общие признаки) Классификационная группировка включает разделы, группы, товарные позиции, субпозиции и </w:t>
      </w:r>
      <w:proofErr w:type="spellStart"/>
      <w:r w:rsidR="00303222" w:rsidRPr="003C24E2">
        <w:rPr>
          <w:rFonts w:ascii="Times New Roman" w:hAnsi="Times New Roman" w:cs="Times New Roman"/>
          <w:sz w:val="24"/>
          <w:szCs w:val="24"/>
        </w:rPr>
        <w:t>подсубпозиции</w:t>
      </w:r>
      <w:proofErr w:type="spellEnd"/>
      <w:r w:rsidR="00303222" w:rsidRPr="003C24E2">
        <w:rPr>
          <w:rFonts w:ascii="Times New Roman" w:hAnsi="Times New Roman" w:cs="Times New Roman"/>
          <w:sz w:val="24"/>
          <w:szCs w:val="24"/>
        </w:rPr>
        <w:t xml:space="preserve">. </w:t>
      </w:r>
    </w:p>
    <w:p w14:paraId="2122935B" w14:textId="77777777" w:rsidR="003C24E2" w:rsidRDefault="00303222" w:rsidP="003C24E2">
      <w:pPr>
        <w:ind w:firstLine="720"/>
        <w:jc w:val="both"/>
        <w:rPr>
          <w:rFonts w:ascii="Times New Roman" w:hAnsi="Times New Roman" w:cs="Times New Roman"/>
          <w:sz w:val="24"/>
          <w:szCs w:val="24"/>
        </w:rPr>
      </w:pPr>
      <w:r w:rsidRPr="003C24E2">
        <w:rPr>
          <w:rFonts w:ascii="Times New Roman" w:hAnsi="Times New Roman" w:cs="Times New Roman"/>
          <w:sz w:val="24"/>
          <w:szCs w:val="24"/>
        </w:rPr>
        <w:t xml:space="preserve">Все примечания имеют юридическую силу, как и сама ТН ВЭД ЕАЭС. Функции примечаний: - исключают товары из классификационных группировок; - включают товары в классификационную группировку; - определяют значение терминов с целью не допускать перегрузки текстов товарных позиций; - объясняют понятия, т. к. толкования тех или иных слов, терминов,  имеющихся в ТН ВЭД, не обязательны, соответствуют их общепризнанному понятию, а также существующие ГОСТ не всегда применимы в номенклатуре; - рекомендуют кодирование определенным образом тех или иных товаров. </w:t>
      </w:r>
    </w:p>
    <w:p w14:paraId="19056A30" w14:textId="77777777" w:rsidR="003C24E2" w:rsidRDefault="00303222" w:rsidP="003C24E2">
      <w:pPr>
        <w:ind w:firstLine="720"/>
        <w:jc w:val="both"/>
        <w:rPr>
          <w:rFonts w:ascii="Times New Roman" w:hAnsi="Times New Roman" w:cs="Times New Roman"/>
          <w:sz w:val="24"/>
          <w:szCs w:val="24"/>
        </w:rPr>
      </w:pPr>
      <w:r w:rsidRPr="003C24E2">
        <w:rPr>
          <w:rFonts w:ascii="Times New Roman" w:hAnsi="Times New Roman" w:cs="Times New Roman"/>
          <w:sz w:val="24"/>
          <w:szCs w:val="24"/>
        </w:rPr>
        <w:lastRenderedPageBreak/>
        <w:t xml:space="preserve">Примечания действуют только на ту классификационную группировку, над которой находятся, за исключением тех, где сказано, что они распространяются на всю ТН ВЭД ТЕАЭ. Если такого замечания нет, то нельзя распространять действие этого примечания на всю номенклатуру, следует ограничиться только разделом или группой. </w:t>
      </w:r>
    </w:p>
    <w:p w14:paraId="21423F7B" w14:textId="77777777" w:rsidR="003C24E2" w:rsidRDefault="00303222" w:rsidP="003C24E2">
      <w:pPr>
        <w:ind w:firstLine="720"/>
        <w:jc w:val="both"/>
        <w:rPr>
          <w:rFonts w:ascii="Times New Roman" w:hAnsi="Times New Roman" w:cs="Times New Roman"/>
          <w:sz w:val="24"/>
          <w:szCs w:val="24"/>
        </w:rPr>
      </w:pPr>
      <w:r w:rsidRPr="003C24E2">
        <w:rPr>
          <w:rFonts w:ascii="Times New Roman" w:hAnsi="Times New Roman" w:cs="Times New Roman"/>
          <w:sz w:val="24"/>
          <w:szCs w:val="24"/>
        </w:rPr>
        <w:t xml:space="preserve">Таким образом, для точной классификации необходимо хорошо знать устройство и назначение товара, принцип работы, материал, из которого он изготовлен, иногда нужно знать также технологию изготовления товара, узкопрофессиональные термины, которыми характеризуются многие товары в описаниях товарных позиций. Для целей однозначной классификации товаров в ГС и в ТН ВЭД ЕАЭС, построенной на ее основе, при классификации используют ОПИ. Порядок применения ОПИ определен в разделе 3 Положения о порядке применения единой Товарной номенклатуры внешнеэкономической деятельности Таможенного союза при классификации товаров, утвержденного решением КТС от 28 января 2011 года № 522 (в редакции решения КТС от 6 августа 2011 года № 767, далее – Положение о порядке применения ТН ВЭД). </w:t>
      </w:r>
    </w:p>
    <w:p w14:paraId="1EFF9903" w14:textId="77777777" w:rsidR="003C24E2" w:rsidRDefault="00303222" w:rsidP="003C24E2">
      <w:pPr>
        <w:ind w:firstLine="720"/>
        <w:jc w:val="both"/>
        <w:rPr>
          <w:rFonts w:ascii="Times New Roman" w:hAnsi="Times New Roman" w:cs="Times New Roman"/>
          <w:sz w:val="24"/>
          <w:szCs w:val="24"/>
        </w:rPr>
      </w:pPr>
      <w:r w:rsidRPr="003C24E2">
        <w:rPr>
          <w:rFonts w:ascii="Times New Roman" w:hAnsi="Times New Roman" w:cs="Times New Roman"/>
          <w:sz w:val="24"/>
          <w:szCs w:val="24"/>
        </w:rPr>
        <w:t xml:space="preserve">Согласно пункту 5 названного Положения ОПИ предназначены для обеспечения однозначного отнесения конкретного товара к определенной классификационной группировке, кодированной на необходимом уровне. ОПИ применяются единообразно при классификации любых товаров и последовательно: ОПИ 1 применяется в первую очередь; ОПИ 2 применяется в случае невозможности классификации товара в соответствии с ОПИ 1; ОПИ 3 применяется в случае невозможности классификации товара в соответствии с ОПИ 1 или ОПИ 2; ОПИ 4 применяется в случае невозможности классификации товара в соответствии с ОПИ 1, ОПИ 2 или ОПИ 3; ОПИ 5 применяется при необходимости после применения иного ОПИ; ОПИ 6 применяется при необходимости определения кода субпозиции/ </w:t>
      </w:r>
      <w:proofErr w:type="spellStart"/>
      <w:r w:rsidRPr="003C24E2">
        <w:rPr>
          <w:rFonts w:ascii="Times New Roman" w:hAnsi="Times New Roman" w:cs="Times New Roman"/>
          <w:sz w:val="24"/>
          <w:szCs w:val="24"/>
        </w:rPr>
        <w:t>подсубпозиции</w:t>
      </w:r>
      <w:proofErr w:type="spellEnd"/>
      <w:r w:rsidRPr="003C24E2">
        <w:rPr>
          <w:rFonts w:ascii="Times New Roman" w:hAnsi="Times New Roman" w:cs="Times New Roman"/>
          <w:sz w:val="24"/>
          <w:szCs w:val="24"/>
        </w:rPr>
        <w:t xml:space="preserve"> (пункт 6 Положения о порядке применения ТН ВЭД). </w:t>
      </w:r>
    </w:p>
    <w:p w14:paraId="00379CCD" w14:textId="603218D5" w:rsidR="00A81D5F" w:rsidRPr="003C24E2" w:rsidRDefault="00303222" w:rsidP="003C24E2">
      <w:pPr>
        <w:ind w:firstLine="720"/>
        <w:jc w:val="both"/>
        <w:rPr>
          <w:rFonts w:ascii="Times New Roman" w:hAnsi="Times New Roman" w:cs="Times New Roman"/>
          <w:sz w:val="24"/>
          <w:szCs w:val="24"/>
        </w:rPr>
      </w:pPr>
      <w:r w:rsidRPr="003C24E2">
        <w:rPr>
          <w:rFonts w:ascii="Times New Roman" w:hAnsi="Times New Roman" w:cs="Times New Roman"/>
          <w:sz w:val="24"/>
          <w:szCs w:val="24"/>
        </w:rPr>
        <w:t xml:space="preserve">Таким образом, </w:t>
      </w:r>
      <w:hyperlink r:id="rId7" w:history="1">
        <w:r w:rsidRPr="00C26D39">
          <w:rPr>
            <w:rStyle w:val="aa"/>
            <w:rFonts w:ascii="Times New Roman" w:hAnsi="Times New Roman" w:cs="Times New Roman"/>
            <w:sz w:val="24"/>
            <w:szCs w:val="24"/>
          </w:rPr>
          <w:t>ОПИ – своего рода алгоритм действий при классификации товаров</w:t>
        </w:r>
      </w:hyperlink>
      <w:r w:rsidRPr="003C24E2">
        <w:rPr>
          <w:rFonts w:ascii="Times New Roman" w:hAnsi="Times New Roman" w:cs="Times New Roman"/>
          <w:sz w:val="24"/>
          <w:szCs w:val="24"/>
        </w:rPr>
        <w:t>. Шесть правил ОПИ предусматривают включение конкретного товара в определенную товарную позицию, а затем</w:t>
      </w:r>
      <w:r w:rsidR="002E7305" w:rsidRPr="003C24E2">
        <w:rPr>
          <w:rFonts w:ascii="Times New Roman" w:hAnsi="Times New Roman" w:cs="Times New Roman"/>
          <w:sz w:val="24"/>
          <w:szCs w:val="24"/>
        </w:rPr>
        <w:t xml:space="preserve"> в соответствующую субпозицию и далее в </w:t>
      </w:r>
      <w:proofErr w:type="spellStart"/>
      <w:r w:rsidR="002E7305" w:rsidRPr="003C24E2">
        <w:rPr>
          <w:rFonts w:ascii="Times New Roman" w:hAnsi="Times New Roman" w:cs="Times New Roman"/>
          <w:sz w:val="24"/>
          <w:szCs w:val="24"/>
        </w:rPr>
        <w:t>подсубпозицию</w:t>
      </w:r>
      <w:proofErr w:type="spellEnd"/>
      <w:r w:rsidR="002E7305" w:rsidRPr="003C24E2">
        <w:rPr>
          <w:rFonts w:ascii="Times New Roman" w:hAnsi="Times New Roman" w:cs="Times New Roman"/>
          <w:sz w:val="24"/>
          <w:szCs w:val="24"/>
        </w:rPr>
        <w:t xml:space="preserve">. Несоблюдение указанного алгоритма может привести участников внешнеэкономической деятельности к ошибкам при декларировании ввозимых и вывозимых товаров. В ОПИ сформулированы главные принципы классификации товаров, где первые пять правил предназначены для установления товарной позиции, а последнее (шестое) – для определения субпозиции и </w:t>
      </w:r>
      <w:proofErr w:type="spellStart"/>
      <w:r w:rsidR="002E7305" w:rsidRPr="003C24E2">
        <w:rPr>
          <w:rFonts w:ascii="Times New Roman" w:hAnsi="Times New Roman" w:cs="Times New Roman"/>
          <w:sz w:val="24"/>
          <w:szCs w:val="24"/>
        </w:rPr>
        <w:t>подсубпозиции</w:t>
      </w:r>
      <w:proofErr w:type="spellEnd"/>
      <w:r w:rsidR="002E7305" w:rsidRPr="003C24E2">
        <w:rPr>
          <w:rFonts w:ascii="Times New Roman" w:hAnsi="Times New Roman" w:cs="Times New Roman"/>
          <w:sz w:val="24"/>
          <w:szCs w:val="24"/>
        </w:rPr>
        <w:t>.</w:t>
      </w:r>
      <w:r w:rsidR="00CF5BD5" w:rsidRPr="003C24E2">
        <w:rPr>
          <w:rFonts w:ascii="Times New Roman" w:hAnsi="Times New Roman" w:cs="Times New Roman"/>
          <w:sz w:val="24"/>
          <w:szCs w:val="24"/>
        </w:rPr>
        <w:t xml:space="preserve"> </w:t>
      </w:r>
    </w:p>
    <w:p w14:paraId="7EA7FA65" w14:textId="0D3DEF47" w:rsidR="00F173BA" w:rsidRPr="003C24E2" w:rsidRDefault="00F173BA" w:rsidP="002570B0">
      <w:pPr>
        <w:rPr>
          <w:rFonts w:ascii="Times New Roman" w:hAnsi="Times New Roman" w:cs="Times New Roman"/>
          <w:sz w:val="24"/>
          <w:szCs w:val="24"/>
        </w:rPr>
      </w:pPr>
    </w:p>
    <w:p w14:paraId="1C113091" w14:textId="5A80DFE0" w:rsidR="00F173BA" w:rsidRPr="003C24E2" w:rsidRDefault="00F173BA" w:rsidP="002570B0">
      <w:pPr>
        <w:rPr>
          <w:rFonts w:ascii="Times New Roman" w:hAnsi="Times New Roman" w:cs="Times New Roman"/>
          <w:sz w:val="24"/>
          <w:szCs w:val="24"/>
        </w:rPr>
      </w:pPr>
    </w:p>
    <w:p w14:paraId="1D196CDE" w14:textId="737247FA" w:rsidR="00F173BA" w:rsidRPr="003C24E2" w:rsidRDefault="00F173BA" w:rsidP="002570B0">
      <w:pPr>
        <w:rPr>
          <w:rFonts w:ascii="Times New Roman" w:hAnsi="Times New Roman" w:cs="Times New Roman"/>
          <w:sz w:val="24"/>
          <w:szCs w:val="24"/>
        </w:rPr>
      </w:pPr>
    </w:p>
    <w:p w14:paraId="02403F08" w14:textId="75BEB719" w:rsidR="00F173BA" w:rsidRPr="003C24E2" w:rsidRDefault="00F173BA" w:rsidP="002570B0">
      <w:pPr>
        <w:rPr>
          <w:rFonts w:ascii="Times New Roman" w:hAnsi="Times New Roman" w:cs="Times New Roman"/>
          <w:sz w:val="24"/>
          <w:szCs w:val="24"/>
        </w:rPr>
      </w:pPr>
    </w:p>
    <w:p w14:paraId="308325D5" w14:textId="324F2E94" w:rsidR="00F173BA" w:rsidRPr="003C24E2" w:rsidRDefault="00F173BA" w:rsidP="002570B0">
      <w:pPr>
        <w:rPr>
          <w:rFonts w:ascii="Times New Roman" w:hAnsi="Times New Roman" w:cs="Times New Roman"/>
          <w:sz w:val="24"/>
          <w:szCs w:val="24"/>
        </w:rPr>
      </w:pPr>
    </w:p>
    <w:p w14:paraId="22BAA135" w14:textId="6CC745FE" w:rsidR="00F173BA" w:rsidRPr="003C24E2" w:rsidRDefault="00F173BA" w:rsidP="002570B0">
      <w:pPr>
        <w:rPr>
          <w:rFonts w:ascii="Times New Roman" w:hAnsi="Times New Roman" w:cs="Times New Roman"/>
          <w:sz w:val="24"/>
          <w:szCs w:val="24"/>
        </w:rPr>
      </w:pPr>
    </w:p>
    <w:p w14:paraId="33D51603" w14:textId="10BA4AEF" w:rsidR="00F173BA" w:rsidRPr="003C24E2" w:rsidRDefault="00F173BA" w:rsidP="002570B0">
      <w:pPr>
        <w:rPr>
          <w:rFonts w:ascii="Times New Roman" w:hAnsi="Times New Roman" w:cs="Times New Roman"/>
          <w:sz w:val="24"/>
          <w:szCs w:val="24"/>
        </w:rPr>
      </w:pPr>
    </w:p>
    <w:p w14:paraId="55D95E22" w14:textId="0EFD17BF" w:rsidR="00F173BA" w:rsidRPr="003C24E2" w:rsidRDefault="00F173BA" w:rsidP="002570B0">
      <w:pPr>
        <w:rPr>
          <w:rFonts w:ascii="Times New Roman" w:hAnsi="Times New Roman" w:cs="Times New Roman"/>
          <w:sz w:val="24"/>
          <w:szCs w:val="24"/>
        </w:rPr>
      </w:pPr>
    </w:p>
    <w:p w14:paraId="1E84A240" w14:textId="61513D00" w:rsidR="00F173BA" w:rsidRPr="003C24E2" w:rsidRDefault="00F173BA" w:rsidP="002570B0">
      <w:pPr>
        <w:rPr>
          <w:rFonts w:ascii="Times New Roman" w:hAnsi="Times New Roman" w:cs="Times New Roman"/>
          <w:sz w:val="24"/>
          <w:szCs w:val="24"/>
        </w:rPr>
      </w:pPr>
    </w:p>
    <w:p w14:paraId="049E1B58" w14:textId="408BB97D" w:rsidR="00F173BA" w:rsidRPr="003C24E2" w:rsidRDefault="00F173BA" w:rsidP="002570B0">
      <w:pPr>
        <w:rPr>
          <w:rFonts w:ascii="Times New Roman" w:hAnsi="Times New Roman" w:cs="Times New Roman"/>
          <w:sz w:val="24"/>
          <w:szCs w:val="24"/>
        </w:rPr>
      </w:pPr>
    </w:p>
    <w:p w14:paraId="3F19C72F" w14:textId="49CAEBA5" w:rsidR="00F173BA" w:rsidRPr="003C24E2" w:rsidRDefault="00F173BA" w:rsidP="00F173BA">
      <w:pPr>
        <w:tabs>
          <w:tab w:val="left" w:pos="6948"/>
        </w:tabs>
        <w:rPr>
          <w:rFonts w:ascii="Times New Roman" w:hAnsi="Times New Roman" w:cs="Times New Roman"/>
          <w:sz w:val="24"/>
          <w:szCs w:val="24"/>
        </w:rPr>
      </w:pPr>
      <w:r w:rsidRPr="003C24E2">
        <w:rPr>
          <w:rFonts w:ascii="Times New Roman" w:hAnsi="Times New Roman" w:cs="Times New Roman"/>
          <w:sz w:val="24"/>
          <w:szCs w:val="24"/>
        </w:rPr>
        <w:lastRenderedPageBreak/>
        <w:tab/>
      </w:r>
    </w:p>
    <w:sectPr w:rsidR="00F173BA" w:rsidRPr="003C24E2"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2E7305"/>
    <w:rsid w:val="00303222"/>
    <w:rsid w:val="00315990"/>
    <w:rsid w:val="00327D34"/>
    <w:rsid w:val="00327E86"/>
    <w:rsid w:val="00396063"/>
    <w:rsid w:val="003C24E2"/>
    <w:rsid w:val="003C77EA"/>
    <w:rsid w:val="003E3623"/>
    <w:rsid w:val="00442855"/>
    <w:rsid w:val="00461793"/>
    <w:rsid w:val="005A3B78"/>
    <w:rsid w:val="006B0A4D"/>
    <w:rsid w:val="006E2D0A"/>
    <w:rsid w:val="00702393"/>
    <w:rsid w:val="00722D19"/>
    <w:rsid w:val="007E5272"/>
    <w:rsid w:val="008A7236"/>
    <w:rsid w:val="008E7DF6"/>
    <w:rsid w:val="0091354D"/>
    <w:rsid w:val="00940023"/>
    <w:rsid w:val="0094655E"/>
    <w:rsid w:val="009E6904"/>
    <w:rsid w:val="00A23573"/>
    <w:rsid w:val="00A45B15"/>
    <w:rsid w:val="00A81D5F"/>
    <w:rsid w:val="00B31BDB"/>
    <w:rsid w:val="00BD7730"/>
    <w:rsid w:val="00C16D9C"/>
    <w:rsid w:val="00C26D39"/>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C26D39"/>
    <w:rPr>
      <w:color w:val="0563C1" w:themeColor="hyperlink"/>
      <w:u w:val="single"/>
    </w:rPr>
  </w:style>
  <w:style w:type="character" w:styleId="ab">
    <w:name w:val="Unresolved Mention"/>
    <w:basedOn w:val="a0"/>
    <w:uiPriority w:val="99"/>
    <w:semiHidden/>
    <w:unhideWhenUsed/>
    <w:rsid w:val="00C26D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k.ru/group/59369613230259"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4</Pages>
  <Words>1381</Words>
  <Characters>7875</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36</cp:revision>
  <cp:lastPrinted>2021-08-17T09:04:00Z</cp:lastPrinted>
  <dcterms:created xsi:type="dcterms:W3CDTF">2021-08-13T09:00:00Z</dcterms:created>
  <dcterms:modified xsi:type="dcterms:W3CDTF">2021-10-13T18:08:00Z</dcterms:modified>
</cp:coreProperties>
</file>