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1B598" w14:textId="25C28B58" w:rsidR="00083EE6" w:rsidRPr="00351134" w:rsidRDefault="00CE025E" w:rsidP="00E056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1134">
        <w:rPr>
          <w:rFonts w:ascii="Times New Roman" w:hAnsi="Times New Roman" w:cs="Times New Roman"/>
          <w:b/>
          <w:bCs/>
          <w:sz w:val="24"/>
          <w:szCs w:val="24"/>
        </w:rPr>
        <w:t>Подсудность</w:t>
      </w:r>
      <w:r w:rsidR="00351134" w:rsidRPr="00351134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351134" w:rsidRPr="00351134">
        <w:rPr>
          <w:rFonts w:ascii="Times New Roman" w:hAnsi="Times New Roman" w:cs="Times New Roman"/>
          <w:b/>
          <w:bCs/>
          <w:sz w:val="24"/>
          <w:szCs w:val="24"/>
        </w:rPr>
        <w:t>Иски об установлении отцовства и о взыскании алиментов могут быть предъявлены истцом также по месту своего жительства</w:t>
      </w:r>
    </w:p>
    <w:p w14:paraId="4D3512C0" w14:textId="77777777" w:rsidR="00083EE6" w:rsidRPr="00E056E7" w:rsidRDefault="00083EE6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B7227F" w14:textId="77777777" w:rsidR="00E056E7" w:rsidRDefault="00083EE6" w:rsidP="00E056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56E7">
        <w:rPr>
          <w:rFonts w:ascii="Times New Roman" w:hAnsi="Times New Roman" w:cs="Times New Roman"/>
          <w:sz w:val="24"/>
          <w:szCs w:val="24"/>
        </w:rPr>
        <w:t xml:space="preserve">В силу части 1 статьи 29 ГПК иск предъявляется в суд по месту жительства ответчика. Иски об установлении отцовства и о взыскании алиментов могут быть предъявлены истцом также по месту своего жительства в соответствии с частью 4 статьи 30 ГПК. Споры обобщаемой категории в соответствии с частью 3 статьи 27 ГПК подлежат рассмотрению и разрешению в специализированных межрайонных судах по делам несовершеннолетних (далее – ювенальный суд). </w:t>
      </w:r>
    </w:p>
    <w:p w14:paraId="3504E0FE" w14:textId="7DB0E9C6" w:rsidR="00E056E7" w:rsidRDefault="001A24C3" w:rsidP="00E056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83EE6" w:rsidRPr="0050721E">
          <w:rPr>
            <w:rStyle w:val="aa"/>
            <w:rFonts w:ascii="Times New Roman" w:hAnsi="Times New Roman" w:cs="Times New Roman"/>
            <w:sz w:val="24"/>
            <w:szCs w:val="24"/>
          </w:rPr>
          <w:t>Вместе с тем в целях обеспечения реализации права</w:t>
        </w:r>
      </w:hyperlink>
      <w:r w:rsidR="00083EE6" w:rsidRPr="00E056E7">
        <w:rPr>
          <w:rFonts w:ascii="Times New Roman" w:hAnsi="Times New Roman" w:cs="Times New Roman"/>
          <w:sz w:val="24"/>
          <w:szCs w:val="24"/>
        </w:rPr>
        <w:t xml:space="preserve"> на доступ к правосудию по ходатайству законных представителей несовершеннолетнего лица дела, отнесенные к подсудности специализированного межрайонного суда по делам несовершеннолетних, могут рассматриваться или могут быть переданы районному (городскому) суду по месту жительства (нахождения) ребенка, за исключением дел, подсудных районным (городским) судам, находящимся в пределах города республиканского значения и столицы, областных центров. Ходатайство может быть подано до окончания подготовки дела к судебному разбирательству. Изучение показало, что в целом нормы процессуального закона о правилах подсудности соблюдаются. </w:t>
      </w:r>
    </w:p>
    <w:p w14:paraId="61753AC3" w14:textId="77777777" w:rsidR="00E056E7" w:rsidRDefault="00083EE6" w:rsidP="00E056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56E7">
        <w:rPr>
          <w:rFonts w:ascii="Times New Roman" w:hAnsi="Times New Roman" w:cs="Times New Roman"/>
          <w:sz w:val="24"/>
          <w:szCs w:val="24"/>
        </w:rPr>
        <w:t xml:space="preserve">Но имеют место единичные факты отмены судебных актов ввиду неправильного направления дела по подсудности в другой суд. Так, по иску Ж. к М. об установлении отцовства и взыскании алиментов, первоначально принято в производство ювенального суда ЗКО. По делу установлено, что отец ребенка – ответчик М. выехал в город Астана, где имеет постоянное место жительства. </w:t>
      </w:r>
    </w:p>
    <w:p w14:paraId="12C38D2C" w14:textId="77777777" w:rsidR="00E056E7" w:rsidRDefault="00083EE6" w:rsidP="00E056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56E7">
        <w:rPr>
          <w:rFonts w:ascii="Times New Roman" w:hAnsi="Times New Roman" w:cs="Times New Roman"/>
          <w:sz w:val="24"/>
          <w:szCs w:val="24"/>
        </w:rPr>
        <w:t xml:space="preserve">Определением ювенального суда ЗКО от 25 января 2017 года данное дело направлено в ювенальный суд города Астана по подсудности по ходатайству истца о передаче дела для рассмотрения судом по месту жительства ответчика. Согласно части 1 статьи 34 ГПК дело, принятое судом к производству с соблюдением правил подсудности, должно быть разрешено им по существу, хотя бы в дальнейшем оно стало подсудно другому суду. </w:t>
      </w:r>
    </w:p>
    <w:p w14:paraId="00379CCD" w14:textId="1AC1BCEB" w:rsidR="00A81D5F" w:rsidRPr="00E056E7" w:rsidRDefault="001A24C3" w:rsidP="00E056E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083EE6" w:rsidRPr="00F96701">
          <w:rPr>
            <w:rStyle w:val="aa"/>
            <w:rFonts w:ascii="Times New Roman" w:hAnsi="Times New Roman" w:cs="Times New Roman"/>
            <w:sz w:val="24"/>
            <w:szCs w:val="24"/>
          </w:rPr>
          <w:t>Кроме того, иск находился на рассмотрении суда по месту жительства</w:t>
        </w:r>
      </w:hyperlink>
      <w:r w:rsidR="00083EE6" w:rsidRPr="00E056E7">
        <w:rPr>
          <w:rFonts w:ascii="Times New Roman" w:hAnsi="Times New Roman" w:cs="Times New Roman"/>
          <w:sz w:val="24"/>
          <w:szCs w:val="24"/>
        </w:rPr>
        <w:t xml:space="preserve"> (нахождения) истца и ее ребенка, поэтому данный спор не подлежал рассмотрению в ювенальном суде города Астана. Определением судьи Верховного Суда от 1 марта 2017 года данное гражданское дело направлено по подсудности в ювенальный суд ЗКО.</w:t>
      </w:r>
      <w:r w:rsidR="00CF5BD5" w:rsidRPr="00E056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E056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E056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E056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E056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E056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E056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E056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E056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E056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E056E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E056E7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E056E7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E056E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E8853" w14:textId="77777777" w:rsidR="001A24C3" w:rsidRDefault="001A24C3" w:rsidP="00702393">
      <w:pPr>
        <w:spacing w:after="0" w:line="240" w:lineRule="auto"/>
      </w:pPr>
      <w:r>
        <w:separator/>
      </w:r>
    </w:p>
  </w:endnote>
  <w:endnote w:type="continuationSeparator" w:id="0">
    <w:p w14:paraId="53AF3527" w14:textId="77777777" w:rsidR="001A24C3" w:rsidRDefault="001A24C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60ADA" w14:textId="77777777" w:rsidR="001A24C3" w:rsidRDefault="001A24C3" w:rsidP="00702393">
      <w:pPr>
        <w:spacing w:after="0" w:line="240" w:lineRule="auto"/>
      </w:pPr>
      <w:r>
        <w:separator/>
      </w:r>
    </w:p>
  </w:footnote>
  <w:footnote w:type="continuationSeparator" w:id="0">
    <w:p w14:paraId="04AFFDC7" w14:textId="77777777" w:rsidR="001A24C3" w:rsidRDefault="001A24C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83EE6"/>
    <w:rsid w:val="00102D7B"/>
    <w:rsid w:val="00152128"/>
    <w:rsid w:val="001539CF"/>
    <w:rsid w:val="00193E1B"/>
    <w:rsid w:val="001A0515"/>
    <w:rsid w:val="001A24C3"/>
    <w:rsid w:val="001C5801"/>
    <w:rsid w:val="001E7ED8"/>
    <w:rsid w:val="002570B0"/>
    <w:rsid w:val="002A1A72"/>
    <w:rsid w:val="002B659E"/>
    <w:rsid w:val="00315990"/>
    <w:rsid w:val="00327D34"/>
    <w:rsid w:val="00327E86"/>
    <w:rsid w:val="00351134"/>
    <w:rsid w:val="00396063"/>
    <w:rsid w:val="003C77EA"/>
    <w:rsid w:val="003E3623"/>
    <w:rsid w:val="00442855"/>
    <w:rsid w:val="00461793"/>
    <w:rsid w:val="0050721E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E025E"/>
    <w:rsid w:val="00CF5BD5"/>
    <w:rsid w:val="00D02DFB"/>
    <w:rsid w:val="00DB660C"/>
    <w:rsid w:val="00E056E7"/>
    <w:rsid w:val="00EE78AD"/>
    <w:rsid w:val="00F173BA"/>
    <w:rsid w:val="00F96701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9670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96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2021-11-29T13:53:00Z</dcterms:modified>
</cp:coreProperties>
</file>