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5.0.0 -->
  <w:body>
    <w:p>
      <w:pPr>
        <w:pStyle w:val="Normal0"/>
        <w:spacing w:before="240" w:after="0" w:line="276" w:lineRule="auto"/>
        <w:ind w:left="-22" w:right="0" w:firstLine="0"/>
        <w:jc w:val="both"/>
      </w:pPr>
      <w:r>
        <w:rPr>
          <w:color w:val="00000A"/>
          <w:szCs w:val="24"/>
          <w:lang w:val="en-US"/>
        </w:rPr>
        <w:t xml:space="preserve"> № 7295-15-00-2/8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</w:pPr>
      <w:r>
        <w:rPr>
          <w:rFonts w:ascii="Arial" w:eastAsia="Arial" w:hAnsi="Arial" w:cs="Arial" w:hint="cs"/>
          <w:b/>
          <w:color w:val="000000"/>
          <w:sz w:val="22"/>
        </w:rPr>
        <w:t xml:space="preserve"> </w:t>
      </w:r>
      <w:r>
        <w:rPr>
          <w:rFonts w:ascii="Arial" w:eastAsia="Arial" w:hAnsi="Arial" w:cs="Arial" w:hint="cs"/>
          <w:b/>
          <w:color w:val="000000"/>
          <w:sz w:val="22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Arial" w:eastAsia="Arial" w:hAnsi="Arial" w:cs="Arial" w:hint="cs"/>
          <w:b/>
          <w:color w:val="000000"/>
          <w:sz w:val="22"/>
        </w:rPr>
        <w:t xml:space="preserve">                                        </w:t>
      </w:r>
      <w:r>
        <w:rPr>
          <w:rFonts w:ascii="Arial" w:eastAsia="Arial" w:hAnsi="Arial" w:cs="Arial" w:hint="cs"/>
          <w:b w:val="0"/>
          <w:color w:val="000000"/>
          <w:sz w:val="22"/>
        </w:rPr>
        <w:t xml:space="preserve">  </w:t>
      </w:r>
      <w:r>
        <w:rPr>
          <w:rFonts w:ascii="Arial" w:eastAsia="Arial" w:hAnsi="Arial" w:cs="Arial" w:hint="cs"/>
          <w:b w:val="0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 У Д Е Б Н Ы Й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 Р И К А З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b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 w:hint="cs"/>
          <w:b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(о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взыскании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единовременного денежного вознаграждения)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</w:tabs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i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>14 октября</w:t>
      </w: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 xml:space="preserve">2015 года </w:t>
      </w: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 xml:space="preserve">                                   </w:t>
      </w: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ab/>
      </w: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 xml:space="preserve">           </w:t>
      </w: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 xml:space="preserve">           </w:t>
      </w:r>
      <w:r>
        <w:rPr>
          <w:rFonts w:ascii="Times New Roman" w:eastAsia="Times New Roman" w:hAnsi="Times New Roman" w:cs="Times New Roman" w:hint="cs"/>
          <w:b w:val="0"/>
          <w:i w:val="0"/>
          <w:color w:val="000000"/>
          <w:sz w:val="28"/>
        </w:rPr>
        <w:t>город Шымкент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820"/>
        </w:tabs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ab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Судья военного суда Шымкентского гарнизона Каипов Б.Б. рассмотрев заявление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Республиканского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государственного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учреждения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«Воинская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часть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91678»,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расположенного по адресу: Республика Казахстан, индекс -080300, Жамбылская область, Жуалинский район, село Б.Момышулы, Военный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городок, РНН 210300210016, БИН 020640004803, ИИК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KZ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92070101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KSN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0000000, БИК ККМF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KZ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2А, ГУ «Жуалинское районное Управление Казначейства Департамента Казначейства по Жамбылской области», к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должнику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Оразбаеву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Жандосу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Нышанбекулы, 22 апреля 1987 года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рождения, проживающего по адресу: Южно – Казахстанская область область,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Толебийский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район, село Костобе, ИИН 870422301875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о вынесении судебного приказа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в отношении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должника Оразбаева Ж.Н. о взыскании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в доход государства выплаченного единовременного денежного вознаграждения в сумме 44 844 (сорок четыре тысячи восемьсот сорок четыре) тенге.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В материалах дела имеется приказ командира воинской части 01731 за № 230, откуда видно, что рядовому контрактной службы Оразбаеву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произведена выплата единовременного денежного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вознаграждения по случаю заключения контракта в сумме 44 844 тенге.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В соответствии с требованиями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пункта 9 статьи 55 Закона Республики Казахстан «О воинской службе и статусе военнослужащих», определено, что полученное единовременное денежное вознаграждение подлежит возврату, при увольнении с воинской службы до истечения срока контракта в случаях, предусмотренных подпунктами 11, 12 и 13 пункта 1 статьи 26 Закона Республики Казахстан «О воинской службе и статусе военнослужащих».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На основании изложенного и руководствуясь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статьями 140,145-146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ГПК Республики Казахстан,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ab/>
      </w:r>
      <w:r>
        <w:rPr>
          <w:rFonts w:ascii="Times New Roman" w:eastAsia="Times New Roman" w:hAnsi="Times New Roman" w:cs="Times New Roman" w:hint="cs"/>
          <w:color w:val="000000"/>
          <w:sz w:val="28"/>
        </w:rPr>
        <w:tab/>
      </w:r>
      <w:r>
        <w:rPr>
          <w:rFonts w:ascii="Times New Roman" w:eastAsia="Times New Roman" w:hAnsi="Times New Roman" w:cs="Times New Roman" w:hint="cs"/>
          <w:color w:val="000000"/>
          <w:sz w:val="28"/>
        </w:rPr>
        <w:tab/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 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ab/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П Р И К А З А Л: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708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b/>
          <w:color w:val="000000"/>
          <w:sz w:val="28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Взыскать с должника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Оразбаева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Жандоса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Нышанбекулы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в доход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государства выплаченное единовременное денежное вознаграждение в сумме 44 844 (сорок четыре тысячи восемьсот сорок четыре) тенге и государственную пошлину в сумме 448 (четыреста сорок восемь) тенге.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Должник вправе в десятидневный срок со дня получения копии судебного приказа направить в суд, вынесши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й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приказ, возражения против заявленного требования с использованием любых средств связи.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Судья военного суда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Шымкентского гарнизона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       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                   </w:t>
      </w:r>
      <w:r>
        <w:rPr>
          <w:rFonts w:ascii="Times New Roman" w:eastAsia="Times New Roman" w:hAnsi="Times New Roman" w:cs="Times New Roman" w:hint="cs"/>
          <w:color w:val="000000"/>
          <w:sz w:val="28"/>
        </w:rPr>
        <w:t>Каипов Б.Б.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-179" w:right="0" w:firstLine="180"/>
        <w:jc w:val="both"/>
        <w:rPr>
          <w:rFonts w:ascii="Times New Roman" w:eastAsia="Times New Roman" w:hAnsi="Times New Roman" w:cs="Times New Roman" w:hint="default"/>
          <w:sz w:val="28"/>
        </w:rPr>
      </w:pPr>
      <w:r>
        <w:rPr>
          <w:rFonts w:ascii="Times New Roman" w:eastAsia="Times New Roman" w:hAnsi="Times New Roman" w:cs="Times New Roman" w:hint="cs"/>
          <w:color w:val="000000"/>
          <w:sz w:val="28"/>
        </w:rPr>
        <w:t xml:space="preserve"> </w:t>
      </w:r>
    </w:p>
    <w:sectPr>
      <w:headerReference w:type="default" r:id="rId4"/>
      <w:pgSz w:w="11906" w:h="16838"/>
      <w:pgMar w:top="1440" w:right="993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odchiangUPC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Cambri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390pt;margin-left:0;margin-top:0;mso-position-horizontal:left;mso-position-horizontal-relative:page;mso-position-vertical:bottom;mso-position-vertical-relative:page;position:absolute;width:400pt;z-index:-251658240">
          <v:imagedata r:id="rId1" o:title=""/>
        </v:shape>
      </w:pict>
    </w:r>
    <w:r>
      <w:pict>
        <v:shape id="_x0000_s2050" type="#_x0000_t75" style="height:600pt;margin-left:5pt;margin-top:50pt;mso-position-horizontal-relative:page;mso-position-vertical-relative:page;position:absolute;width:25pt;z-index:-251657216">
          <v:imagedata r:id="rId2" o:title=""/>
        </v:shape>
      </w:pict>
    </w:r>
    <w:r>
      <w:pict>
        <v:shape id="_x0000_s2051" type="#_x0000_t75" style="height:400pt;margin-left:570pt;margin-top:250pt;mso-position-horizontal-relative:page;mso-position-vertical-relative:page;position:absolute;width:25pt;z-index:-251656192">
          <v:imagedata r:id="rId3" o:title=""/>
        </v:shape>
      </w:pict>
    </w:r>
    <w:r>
      <w:pict>
        <v:shape id="_x0000_s2052" type="#_x0000_t75" style="height:40pt;margin-left:7pt;margin-top:750pt;mso-position-horizontal-relative:page;mso-position-vertical-relative:page;position:absolute;width:40pt;z-index:-251655168">
          <v:imagedata r:id="rId4" o:title=""/>
        </v:shape>
      </w:pict>
    </w:r>
    <w:r>
      <w:pict>
        <v:shape id="_x0000_s2053" type="#_x0000_t75" style="height:25pt;margin-left:11pt;margin-top:790pt;mso-position-horizontal-relative:page;mso-position-vertical-relative:page;position:absolute;width:200pt;z-index:-251654144">
          <v:imagedata r:id="rId5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 w:hint="default"/>
        <w:color w:val="000000"/>
        <w:spacing w:val="0"/>
        <w:position w:val="0"/>
        <w:sz w:val="22"/>
        <w:szCs w:val="22"/>
        <w:lang w:val="en-US" w:eastAsia="en-US" w:bidi="en-US"/>
      </w:rPr>
    </w:rPrDefault>
    <w:pPrDefault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beforeAutospacing="0" w:after="200" w:afterAutospacing="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0"/>
    <w:next w:val="Normal0"/>
    <w:uiPriority w:val="9"/>
    <w:qFormat/>
    <w:pPr>
      <w:keepNext/>
      <w:keepLines/>
      <w:spacing w:before="480" w:after="0"/>
    </w:pPr>
    <w:rPr>
      <w:b/>
      <w:color w:val="000000"/>
      <w:sz w:val="48"/>
    </w:rPr>
  </w:style>
  <w:style w:type="paragraph" w:customStyle="1" w:styleId="Heading2">
    <w:name w:val="Heading 2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color w:val="000000"/>
      <w:sz w:val="40"/>
    </w:rPr>
  </w:style>
  <w:style w:type="paragraph" w:customStyle="1" w:styleId="Heading3">
    <w:name w:val="Heading 3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i/>
      <w:color w:val="000000"/>
      <w:sz w:val="36"/>
    </w:rPr>
  </w:style>
  <w:style w:type="paragraph" w:customStyle="1" w:styleId="Heading4">
    <w:name w:val="Heading 4"/>
    <w:basedOn w:val="Normal0"/>
    <w:next w:val="Normal0"/>
    <w:uiPriority w:val="9"/>
    <w:unhideWhenUsed/>
    <w:qFormat/>
    <w:pPr>
      <w:keepNext/>
      <w:keepLines/>
      <w:spacing w:before="200" w:after="0"/>
    </w:pPr>
    <w:rPr>
      <w:color w:val="232323"/>
      <w:sz w:val="32"/>
    </w:rPr>
  </w:style>
  <w:style w:type="paragraph" w:customStyle="1" w:styleId="Heading5">
    <w:name w:val="Heading 5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color w:val="444444"/>
      <w:sz w:val="28"/>
    </w:rPr>
  </w:style>
  <w:style w:type="paragraph" w:customStyle="1" w:styleId="Heading6">
    <w:name w:val="Heading 6"/>
    <w:basedOn w:val="Normal0"/>
    <w:next w:val="Normal0"/>
    <w:uiPriority w:val="9"/>
    <w:unhideWhenUsed/>
    <w:qFormat/>
    <w:pPr>
      <w:keepNext/>
      <w:keepLines/>
      <w:spacing w:before="200" w:after="0"/>
    </w:pPr>
    <w:rPr>
      <w:i/>
      <w:color w:val="232323"/>
      <w:sz w:val="28"/>
    </w:rPr>
  </w:style>
  <w:style w:type="paragraph" w:customStyle="1" w:styleId="Heading7">
    <w:name w:val="Heading 7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color w:val="606060"/>
      <w:sz w:val="24"/>
    </w:rPr>
  </w:style>
  <w:style w:type="paragraph" w:customStyle="1" w:styleId="Heading8">
    <w:name w:val="Heading 8"/>
    <w:basedOn w:val="Normal0"/>
    <w:next w:val="Normal0"/>
    <w:uiPriority w:val="9"/>
    <w:unhideWhenUsed/>
    <w:qFormat/>
    <w:pPr>
      <w:keepNext/>
      <w:keepLines/>
      <w:spacing w:before="200" w:after="0"/>
    </w:pPr>
    <w:rPr>
      <w:color w:val="444444"/>
      <w:sz w:val="24"/>
    </w:rPr>
  </w:style>
  <w:style w:type="paragraph" w:customStyle="1" w:styleId="Heading9">
    <w:name w:val="Heading 9"/>
    <w:basedOn w:val="Normal0"/>
    <w:next w:val="Normal0"/>
    <w:uiPriority w:val="9"/>
    <w:unhideWhenUsed/>
    <w:qFormat/>
    <w:pPr>
      <w:keepNext/>
      <w:keepLines/>
      <w:spacing w:before="200" w:after="0"/>
    </w:pPr>
    <w:rPr>
      <w:i/>
      <w:color w:val="444444"/>
      <w:sz w:val="23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000000"/>
    </w:rPr>
  </w:style>
  <w:style w:type="paragraph" w:styleId="Title">
    <w:name w:val="Title"/>
    <w:basedOn w:val="Normal0"/>
    <w:next w:val="Normal0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itle">
    <w:name w:val="Subtitle"/>
    <w:basedOn w:val="Normal0"/>
    <w:next w:val="Normal0"/>
    <w:uiPriority w:val="11"/>
    <w:qFormat/>
    <w:pPr>
      <w:spacing w:line="240" w:lineRule="auto"/>
    </w:pPr>
    <w:rPr>
      <w:i/>
      <w:color w:val="444444"/>
      <w:sz w:val="52"/>
    </w:rPr>
  </w:style>
  <w:style w:type="paragraph" w:styleId="Quote">
    <w:name w:val="Quote"/>
    <w:basedOn w:val="Normal0"/>
    <w:next w:val="Normal0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0"/>
    <w:next w:val="Normal0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Header">
    <w:name w:val="Header"/>
    <w:basedOn w:val="Normal0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color w:val="000000"/>
      <w:sz w:val="22"/>
    </w:rPr>
  </w:style>
  <w:style w:type="paragraph" w:customStyle="1" w:styleId="Footer">
    <w:name w:val="Footer"/>
    <w:basedOn w:val="Normal0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color w:val="000000"/>
      <w:sz w:val="22"/>
    </w:rPr>
  </w:style>
  <w:style w:type="table" w:customStyle="1" w:styleId="Lined">
    <w:name w:val="Lin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95B3D7"/>
      </w:tcPr>
    </w:tblStylePr>
    <w:tblStylePr w:type="firstRow">
      <w:tcPr>
        <w:shd w:val="clear" w:color="auto" w:fill="95B3D7"/>
      </w:tcPr>
    </w:tblStylePr>
    <w:tblStylePr w:type="lastCol">
      <w:tcPr>
        <w:shd w:val="clear" w:color="auto" w:fill="95B3D7"/>
      </w:tcPr>
    </w:tblStylePr>
    <w:tblStylePr w:type="lastRow">
      <w:tcPr>
        <w:shd w:val="clear" w:color="auto" w:fill="95B3D7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FDE9E9"/>
      </w:tcPr>
    </w:tblStylePr>
    <w:tblStylePr w:type="band2Vert">
      <w:tcPr>
        <w:shd w:val="clear" w:color="auto" w:fill="FDE9E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000000"/>
        </w:tcBorders>
      </w:tcPr>
    </w:tblStylePr>
    <w:tblStylePr w:type="firstRow">
      <w:tcPr>
        <w:tcBorders>
          <w:bottom w:val="single" w:sz="18" w:space="0" w:color="000000"/>
        </w:tcBorders>
      </w:tcPr>
    </w:tblStylePr>
    <w:tblStylePr w:type="lastCol">
      <w:tcPr>
        <w:tcBorders>
          <w:left w:val="single" w:sz="18" w:space="0" w:color="000000"/>
        </w:tcBorders>
      </w:tcPr>
    </w:tblStylePr>
    <w:tblStylePr w:type="lastRow">
      <w:tcPr>
        <w:tcBorders>
          <w:top w:val="single" w:sz="18" w:space="0" w:color="00000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365F91"/>
        </w:tcBorders>
      </w:tcPr>
    </w:tblStylePr>
    <w:tblStylePr w:type="firstRow">
      <w:tcPr>
        <w:tcBorders>
          <w:bottom w:val="single" w:sz="18" w:space="0" w:color="365F91"/>
        </w:tcBorders>
      </w:tcPr>
    </w:tblStylePr>
    <w:tblStylePr w:type="lastCol">
      <w:tcPr>
        <w:tcBorders>
          <w:left w:val="single" w:sz="18" w:space="0" w:color="365F91"/>
        </w:tcBorders>
      </w:tcPr>
    </w:tblStylePr>
    <w:tblStylePr w:type="lastRow">
      <w:tcPr>
        <w:tcBorders>
          <w:top w:val="single" w:sz="18" w:space="0" w:color="365F9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943634"/>
        </w:tcBorders>
      </w:tcPr>
    </w:tblStylePr>
    <w:tblStylePr w:type="firstRow">
      <w:tcPr>
        <w:tcBorders>
          <w:bottom w:val="single" w:sz="18" w:space="0" w:color="943634"/>
        </w:tcBorders>
      </w:tcPr>
    </w:tblStylePr>
    <w:tblStylePr w:type="lastCol">
      <w:tcPr>
        <w:tcBorders>
          <w:left w:val="single" w:sz="18" w:space="0" w:color="943634"/>
        </w:tcBorders>
      </w:tcPr>
    </w:tblStylePr>
    <w:tblStylePr w:type="lastRow">
      <w:tcPr>
        <w:tcBorders>
          <w:top w:val="single" w:sz="18" w:space="0" w:color="943634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76923C"/>
        </w:tcBorders>
      </w:tcPr>
    </w:tblStylePr>
    <w:tblStylePr w:type="firstRow">
      <w:tcPr>
        <w:tcBorders>
          <w:bottom w:val="single" w:sz="18" w:space="0" w:color="76923C"/>
        </w:tcBorders>
      </w:tcPr>
    </w:tblStylePr>
    <w:tblStylePr w:type="lastCol">
      <w:tcPr>
        <w:tcBorders>
          <w:left w:val="single" w:sz="18" w:space="0" w:color="76923C"/>
        </w:tcBorders>
      </w:tcPr>
    </w:tblStylePr>
    <w:tblStylePr w:type="lastRow">
      <w:tcPr>
        <w:tcBorders>
          <w:top w:val="single" w:sz="18" w:space="0" w:color="76923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5F497A"/>
        </w:tcBorders>
      </w:tcPr>
    </w:tblStylePr>
    <w:tblStylePr w:type="firstRow">
      <w:tcPr>
        <w:tcBorders>
          <w:bottom w:val="single" w:sz="18" w:space="0" w:color="5F497A"/>
        </w:tcBorders>
      </w:tcPr>
    </w:tblStylePr>
    <w:tblStylePr w:type="lastCol">
      <w:tcPr>
        <w:tcBorders>
          <w:left w:val="single" w:sz="18" w:space="0" w:color="5F497A"/>
        </w:tcBorders>
      </w:tcPr>
    </w:tblStylePr>
    <w:tblStylePr w:type="lastRow">
      <w:tcPr>
        <w:tcBorders>
          <w:top w:val="single" w:sz="18" w:space="0" w:color="5F497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31849B"/>
        </w:tcBorders>
      </w:tcPr>
    </w:tblStylePr>
    <w:tblStylePr w:type="firstRow">
      <w:tcPr>
        <w:tcBorders>
          <w:bottom w:val="single" w:sz="18" w:space="0" w:color="31849B"/>
        </w:tcBorders>
      </w:tcPr>
    </w:tblStylePr>
    <w:tblStylePr w:type="lastCol">
      <w:tcPr>
        <w:tcBorders>
          <w:left w:val="single" w:sz="18" w:space="0" w:color="31849B"/>
        </w:tcBorders>
      </w:tcPr>
    </w:tblStylePr>
    <w:tblStylePr w:type="lastRow">
      <w:tcPr>
        <w:tcBorders>
          <w:top w:val="single" w:sz="18" w:space="0" w:color="31849B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E36C0A"/>
        </w:tcBorders>
      </w:tcPr>
    </w:tblStylePr>
    <w:tblStylePr w:type="firstRow">
      <w:tcPr>
        <w:tcBorders>
          <w:bottom w:val="single" w:sz="18" w:space="0" w:color="E36C0A"/>
        </w:tcBorders>
      </w:tcPr>
    </w:tblStylePr>
    <w:tblStylePr w:type="lastCol">
      <w:tcPr>
        <w:tcBorders>
          <w:left w:val="single" w:sz="18" w:space="0" w:color="E36C0A"/>
        </w:tcBorders>
      </w:tcPr>
    </w:tblStylePr>
    <w:tblStylePr w:type="lastRow">
      <w:tcPr>
        <w:tcBorders>
          <w:top w:val="single" w:sz="18" w:space="0" w:color="E36C0A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8DB3E2"/>
      </w:tcPr>
    </w:tblStylePr>
    <w:tblStylePr w:type="firstRow">
      <w:tcPr>
        <w:shd w:val="clear" w:color="auto" w:fill="8DB3E2"/>
      </w:tcPr>
    </w:tblStylePr>
    <w:tblStylePr w:type="lastCol">
      <w:tcPr>
        <w:shd w:val="clear" w:color="auto" w:fill="8DB3E2"/>
      </w:tcPr>
    </w:tblStylePr>
    <w:tblStylePr w:type="lastRow">
      <w:tcPr>
        <w:shd w:val="clear" w:color="auto" w:fill="8DB3E2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FDE9D9"/>
      </w:tcPr>
    </w:tblStylePr>
    <w:tblStylePr w:type="band2Vert">
      <w:tcPr>
        <w:shd w:val="clear" w:color="auto" w:fill="FDE9D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character" w:styleId="Hyperlink">
    <w:name w:val="Hyperlink"/>
    <w:uiPriority w:val="99"/>
    <w:unhideWhenUsed/>
    <w:rPr>
      <w:color w:val="0000FF"/>
      <w:u w:val="single"/>
    </w:rPr>
  </w:style>
  <w:style w:type="numbering" w:customStyle="1" w:styleId="GenStyleDefNum">
    <w:name w:val="GenStyleDefNum"/>
  </w:style>
  <w:style w:type="table" w:customStyle="1" w:styleId="GenStyleDefTable">
    <w:name w:val="GenStyleDefTable"/>
    <w:tblPr>
      <w:tblStyleRowBandSize w:val="1"/>
      <w:tblStyleColBandSize w:val="1"/>
    </w:tblPr>
  </w:style>
  <w:style w:type="table" w:customStyle="1" w:styleId="GenStyleDefTableGrid">
    <w:name w:val="GenStyleDefTableGrid"/>
    <w:basedOn w:val="GenStyleDef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pPr>
      <w:widowControl/>
      <w:tabs>
        <w:tab w:val="left" w:pos="720"/>
      </w:tabs>
    </w:pPr>
    <w:rPr>
      <w:rFonts w:ascii="Times New Roman" w:eastAsia="Times New Roman" w:hAnsi="Times New Roman" w:cs="Times New Roman" w:hint="default"/>
      <w:color w:val="000000"/>
      <w:sz w:val="24"/>
      <w:szCs w:val="20"/>
      <w:lang w:val="ru-RU" w:eastAsia="ru-RU" w:bidi="ar-SA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 w:hint="default"/>
      <w:color w:val="000000"/>
      <w:szCs w:val="20"/>
      <w:lang w:val="ru-RU" w:eastAsia="ru-RU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0"/>
    <w:next w:val="Textbody"/>
    <w:pPr>
      <w:keepNext/>
      <w:spacing w:before="240" w:after="120"/>
    </w:pPr>
    <w:rPr>
      <w:rFonts w:ascii="KodchiangUPC" w:eastAsia="KodchiangUPC" w:hAnsi="KodchiangUPC" w:cs="KodchiangUPC" w:hint="default"/>
      <w:sz w:val="28"/>
      <w:szCs w:val="28"/>
    </w:rPr>
  </w:style>
  <w:style w:type="paragraph" w:customStyle="1" w:styleId="Textbody">
    <w:name w:val="Text body"/>
    <w:basedOn w:val="Normal0"/>
    <w:pPr>
      <w:spacing w:before="0" w:after="120"/>
    </w:pPr>
  </w:style>
  <w:style w:type="paragraph" w:styleId="List">
    <w:name w:val="List"/>
    <w:basedOn w:val="Textbody"/>
    <w:rPr>
      <w:rFonts w:cs="KodchiangUPC" w:hint="default"/>
    </w:rPr>
  </w:style>
  <w:style w:type="paragraph" w:customStyle="1" w:styleId="Caption">
    <w:name w:val="Caption"/>
    <w:basedOn w:val="Normal0"/>
    <w:pPr>
      <w:spacing w:before="120" w:after="120"/>
    </w:pPr>
    <w:rPr>
      <w:rFonts w:cs="KodchiangUPC" w:hint="default"/>
      <w:i/>
      <w:iCs/>
      <w:sz w:val="24"/>
      <w:szCs w:val="24"/>
    </w:rPr>
  </w:style>
  <w:style w:type="paragraph" w:customStyle="1" w:styleId="Index">
    <w:name w:val="Index"/>
    <w:basedOn w:val="Normal0"/>
    <w:rPr>
      <w:rFonts w:cs="KodchiangUPC" w:hint="default"/>
    </w:rPr>
  </w:style>
  <w:style w:type="paragraph" w:styleId="ListParagraph">
    <w:name w:val="List Paragraph"/>
    <w:basedOn w:val="Normal0"/>
    <w:pPr>
      <w:ind w:left="720" w:righ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Ascensio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