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9C27" w14:textId="07E75E5D" w:rsidR="00A6657E" w:rsidRPr="00674509" w:rsidRDefault="003B7673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6BC49C9F" wp14:editId="6BC49CA0">
            <wp:extent cx="2057400" cy="571500"/>
            <wp:effectExtent l="0" t="0" r="0" b="0"/>
            <wp:docPr id="482511812" name="Рисунок 48251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509">
        <w:rPr>
          <w:lang w:val="ru-RU"/>
        </w:rPr>
        <w:t xml:space="preserve"> </w:t>
      </w:r>
    </w:p>
    <w:p w14:paraId="6BC49C28" w14:textId="77777777" w:rsidR="00A6657E" w:rsidRDefault="003B7673">
      <w:pPr>
        <w:spacing w:after="0"/>
      </w:pPr>
      <w:proofErr w:type="spellStart"/>
      <w:r>
        <w:rPr>
          <w:b/>
          <w:color w:val="000000"/>
          <w:sz w:val="28"/>
        </w:rPr>
        <w:t>Адамды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саудаға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жауапкершілік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анықтайтын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BC49C29" w14:textId="77777777" w:rsidR="00A6657E" w:rsidRDefault="003B767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BC49C2A" w14:textId="77777777" w:rsidR="00A6657E" w:rsidRDefault="003B7673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"133", "132-1", "270"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"135", "134", "308"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6BC49C2B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мақсатынсыз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еңбегін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қанаудың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мақсатынсыз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еңбегін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қанайтын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08.12.2021 № 3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6BC49C2C" w14:textId="77777777" w:rsidR="00A6657E" w:rsidRDefault="003B767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6BC49C2D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6BC49C2E" w14:textId="77777777" w:rsidR="00A6657E" w:rsidRDefault="003B7673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1"/>
    <w:p w14:paraId="6BC49C2F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30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128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азғырып-көндіру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байқалады</w:t>
      </w:r>
      <w:proofErr w:type="spellEnd"/>
      <w:r>
        <w:rPr>
          <w:color w:val="000000"/>
          <w:sz w:val="28"/>
        </w:rPr>
        <w:t>.</w:t>
      </w:r>
    </w:p>
    <w:p w14:paraId="6BC49C31" w14:textId="77777777" w:rsidR="00A6657E" w:rsidRDefault="003B7673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>.</w:t>
      </w:r>
    </w:p>
    <w:bookmarkEnd w:id="2"/>
    <w:p w14:paraId="6BC49C32" w14:textId="77777777" w:rsidR="00A6657E" w:rsidRDefault="00A6657E">
      <w:pPr>
        <w:spacing w:after="0"/>
      </w:pPr>
    </w:p>
    <w:p w14:paraId="6BC49C33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6BC49C34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6BC49C35" w14:textId="77777777" w:rsidR="00A6657E" w:rsidRDefault="003B7673">
      <w:pPr>
        <w:spacing w:after="0"/>
        <w:jc w:val="both"/>
      </w:pPr>
      <w:bookmarkStart w:id="3" w:name="z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BC49C36" w14:textId="77777777" w:rsidR="00A6657E" w:rsidRDefault="003B7673">
      <w:pPr>
        <w:spacing w:after="0"/>
        <w:jc w:val="both"/>
      </w:pPr>
      <w:bookmarkStart w:id="4" w:name="z6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4"/>
    <w:p w14:paraId="6BC49C37" w14:textId="77777777" w:rsidR="00A6657E" w:rsidRDefault="00A6657E">
      <w:pPr>
        <w:spacing w:after="0"/>
      </w:pPr>
    </w:p>
    <w:p w14:paraId="6BC49C38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BC49C39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фото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бопсалау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BC49C3A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3B" w14:textId="77777777" w:rsidR="00A6657E" w:rsidRDefault="003B7673">
      <w:pPr>
        <w:spacing w:after="0"/>
        <w:jc w:val="both"/>
      </w:pPr>
      <w:bookmarkStart w:id="5" w:name="z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BC49C3C" w14:textId="77777777" w:rsidR="00A6657E" w:rsidRDefault="003B7673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айырбастауды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әлденеге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айырбастау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алмастыруды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BC49C3D" w14:textId="77777777" w:rsidR="00A6657E" w:rsidRDefault="003B7673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7"/>
    <w:p w14:paraId="6BC49C3E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жеңгетайлығы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мақсатынсыз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қайыршылықпен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134, 308-баптары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жеңгетайлық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.</w:t>
      </w:r>
    </w:p>
    <w:p w14:paraId="6BC49C3F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BC49C40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5.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азғырып-көндіру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Азғырып-көндіру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азғыру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бопсалау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қоқан-лоқы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BC49C41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p w14:paraId="6BC49C42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308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134-баптары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бәсекелестік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жеңгетайлық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6BC49C43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44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ілесуімен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әперуді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6BC49C45" w14:textId="77777777" w:rsidR="00A6657E" w:rsidRDefault="00A6657E">
      <w:pPr>
        <w:spacing w:after="0"/>
      </w:pPr>
    </w:p>
    <w:p w14:paraId="6BC49C46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BC49C47" w14:textId="77777777" w:rsidR="00A6657E" w:rsidRDefault="00A6657E">
      <w:pPr>
        <w:spacing w:after="0"/>
      </w:pPr>
    </w:p>
    <w:p w14:paraId="6BC49C48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49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4A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дәрі-дәрмекпен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BC49C4B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4C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9. "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135-баптарына </w:t>
      </w:r>
      <w:proofErr w:type="spellStart"/>
      <w:r>
        <w:rPr>
          <w:color w:val="000000"/>
          <w:sz w:val="28"/>
        </w:rPr>
        <w:t>лайықтап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1-тармағын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BC49C4D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әсіресе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37-IV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BC49C4E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қайыршылықпен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.). ҚК </w:t>
      </w:r>
      <w:proofErr w:type="spellStart"/>
      <w:r>
        <w:rPr>
          <w:color w:val="000000"/>
          <w:sz w:val="28"/>
        </w:rPr>
        <w:t>еңбегін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куәландырады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308, 134-баптары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сараланбастан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135-баптарында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6BC49C4F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14:paraId="6BC49C50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14:paraId="6BC49C51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52" w14:textId="77777777" w:rsidR="00A6657E" w:rsidRDefault="003B7673">
      <w:pPr>
        <w:spacing w:after="0"/>
        <w:jc w:val="both"/>
      </w:pPr>
      <w:bookmarkStart w:id="8" w:name="z700"/>
      <w:r>
        <w:rPr>
          <w:color w:val="000000"/>
          <w:sz w:val="28"/>
        </w:rPr>
        <w:t xml:space="preserve">      9-1. </w:t>
      </w:r>
      <w:proofErr w:type="spellStart"/>
      <w:r>
        <w:rPr>
          <w:color w:val="000000"/>
          <w:sz w:val="28"/>
        </w:rPr>
        <w:t>Клиенттер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айырбас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телекоммуникация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8"/>
    <w:p w14:paraId="6BC49C53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54" w14:textId="77777777" w:rsidR="00A6657E" w:rsidRDefault="003B7673">
      <w:pPr>
        <w:spacing w:after="0"/>
        <w:jc w:val="both"/>
      </w:pPr>
      <w:bookmarkStart w:id="9" w:name="z701"/>
      <w:r>
        <w:rPr>
          <w:color w:val="000000"/>
          <w:sz w:val="28"/>
        </w:rPr>
        <w:t xml:space="preserve">       9-2.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152, 153, 156, 395-баптарында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9"/>
    <w:p w14:paraId="6BC49C55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56" w14:textId="77777777" w:rsidR="00A6657E" w:rsidRDefault="003B7673">
      <w:pPr>
        <w:spacing w:after="0"/>
        <w:jc w:val="both"/>
      </w:pPr>
      <w:bookmarkStart w:id="10" w:name="z17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азғындық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порнографиялық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бейне-клиптер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135-баптарының </w:t>
      </w:r>
      <w:proofErr w:type="spellStart"/>
      <w:r>
        <w:rPr>
          <w:color w:val="000000"/>
          <w:sz w:val="28"/>
        </w:rPr>
        <w:t>диспозициясымен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</w:t>
      </w:r>
    </w:p>
    <w:bookmarkEnd w:id="10"/>
    <w:p w14:paraId="6BC49C57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жеңгетайлық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135-бабының </w:t>
      </w:r>
      <w:proofErr w:type="spellStart"/>
      <w:r>
        <w:rPr>
          <w:color w:val="000000"/>
          <w:sz w:val="28"/>
        </w:rPr>
        <w:t>диспозияцияларында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сараланбастан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134, 308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309-баптары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BC49C58" w14:textId="77777777" w:rsidR="00A6657E" w:rsidRDefault="003B7673">
      <w:pPr>
        <w:spacing w:after="0"/>
        <w:jc w:val="both"/>
      </w:pPr>
      <w:bookmarkStart w:id="11" w:name="z69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жеңгетайлық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жеңгетайлықпен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притонды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жеңгетайлық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1"/>
    <w:p w14:paraId="6BC49C59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Жеңгетайлық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BC49C5A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5B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11.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128, 135-баптарында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BC49C5C" w14:textId="77777777" w:rsidR="00A6657E" w:rsidRDefault="003B7673">
      <w:pPr>
        <w:spacing w:after="0"/>
        <w:jc w:val="both"/>
      </w:pPr>
      <w:bookmarkStart w:id="12" w:name="z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47, 96, 97-баптарында,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2"/>
    <w:p w14:paraId="6BC49C5D" w14:textId="77777777" w:rsidR="00A6657E" w:rsidRDefault="00A6657E">
      <w:pPr>
        <w:spacing w:after="0"/>
      </w:pPr>
    </w:p>
    <w:p w14:paraId="6BC49C5E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6BC49C5F" w14:textId="77777777" w:rsidR="00A6657E" w:rsidRDefault="00A6657E">
      <w:pPr>
        <w:spacing w:after="0"/>
      </w:pPr>
    </w:p>
    <w:p w14:paraId="6BC49C60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Жәбірленушілер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23, 32, 33, 34, 36, 37-баптарында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741-бабы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6BC49C61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62" w14:textId="77777777" w:rsidR="00A6657E" w:rsidRDefault="003B7673">
      <w:pPr>
        <w:spacing w:after="0"/>
        <w:jc w:val="both"/>
      </w:pPr>
      <w:bookmarkStart w:id="13" w:name="z22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BC49C63" w14:textId="77777777" w:rsidR="00A6657E" w:rsidRDefault="003B7673">
      <w:pPr>
        <w:spacing w:after="0"/>
        <w:jc w:val="both"/>
      </w:pPr>
      <w:bookmarkStart w:id="14" w:name="z23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64" w14:textId="77777777" w:rsidR="00A6657E" w:rsidRDefault="003B7673">
      <w:pPr>
        <w:spacing w:after="0"/>
        <w:jc w:val="both"/>
      </w:pPr>
      <w:bookmarkStart w:id="15" w:name="z24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65" w14:textId="77777777" w:rsidR="00A6657E" w:rsidRDefault="003B7673">
      <w:pPr>
        <w:spacing w:after="0"/>
        <w:jc w:val="both"/>
      </w:pPr>
      <w:bookmarkStart w:id="16" w:name="z25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bookmarkEnd w:id="16"/>
    <w:p w14:paraId="6BC49C66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135-баптарының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67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BC49C68" w14:textId="77777777" w:rsidR="00A6657E" w:rsidRDefault="003B7673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69" w14:textId="77777777" w:rsidR="00A6657E" w:rsidRDefault="003B7673">
      <w:pPr>
        <w:spacing w:after="0"/>
        <w:jc w:val="both"/>
      </w:pPr>
      <w:bookmarkStart w:id="17" w:name="z698"/>
      <w:r>
        <w:rPr>
          <w:color w:val="000000"/>
          <w:sz w:val="28"/>
        </w:rPr>
        <w:t xml:space="preserve">      12-1.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Ұрлық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23-тармақтарында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9)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7"/>
    <w:p w14:paraId="6BC49C6A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6B" w14:textId="77777777" w:rsidR="00A6657E" w:rsidRDefault="003B7673">
      <w:pPr>
        <w:spacing w:after="0"/>
        <w:jc w:val="both"/>
      </w:pPr>
      <w:bookmarkStart w:id="18" w:name="z26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ағзалары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алынған-алынбағанына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пайдаланылған-пайдаланылмағанына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транспланттау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ағзаларын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6BC49C6C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ағзалары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135-бабында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116-бабының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6D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ағзалары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ағзалары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алынған-алынбағанына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пайдаланылған-пайдаланылмағанына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12)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6BC49C6E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6F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14.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8-тармағы,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7-тармағы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қиянат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білмегендіктен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қалады</w:t>
      </w:r>
      <w:proofErr w:type="spellEnd"/>
      <w:r>
        <w:rPr>
          <w:color w:val="000000"/>
          <w:sz w:val="28"/>
        </w:rPr>
        <w:t>.</w:t>
      </w:r>
    </w:p>
    <w:p w14:paraId="6BC49C70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BC49C71" w14:textId="77777777" w:rsidR="00A6657E" w:rsidRDefault="003B7673">
      <w:pPr>
        <w:spacing w:after="0"/>
        <w:jc w:val="both"/>
      </w:pPr>
      <w:bookmarkStart w:id="19" w:name="z29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9-тармағы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361-бабы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</w:t>
      </w:r>
    </w:p>
    <w:bookmarkEnd w:id="19"/>
    <w:p w14:paraId="6BC49C72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BC49C73" w14:textId="77777777" w:rsidR="00A6657E" w:rsidRDefault="003B7673">
      <w:pPr>
        <w:spacing w:after="0"/>
        <w:jc w:val="both"/>
      </w:pPr>
      <w:bookmarkStart w:id="20" w:name="z699"/>
      <w:r>
        <w:rPr>
          <w:color w:val="000000"/>
          <w:sz w:val="28"/>
        </w:rPr>
        <w:t xml:space="preserve">      15-1.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9)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9)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132-бабының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0"/>
    <w:p w14:paraId="6BC49C74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15-1-тармақпен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75" w14:textId="77777777" w:rsidR="00A6657E" w:rsidRDefault="003B7673">
      <w:pPr>
        <w:spacing w:after="0"/>
        <w:jc w:val="both"/>
      </w:pPr>
      <w:bookmarkStart w:id="21" w:name="z30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10-тармағы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10-тармағы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6BC49C76" w14:textId="77777777" w:rsidR="00A6657E" w:rsidRDefault="003B7673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үй-жайында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бағыныштының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2"/>
    <w:p w14:paraId="6BC49C77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BC49C78" w14:textId="77777777" w:rsidR="00A6657E" w:rsidRDefault="003B7673">
      <w:pPr>
        <w:spacing w:after="0"/>
        <w:jc w:val="both"/>
      </w:pPr>
      <w:bookmarkStart w:id="23" w:name="z32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жөнелту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транзит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135-баптарының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bookmarkEnd w:id="23"/>
    <w:p w14:paraId="6BC49C79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транзиттеу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</w:t>
      </w:r>
    </w:p>
    <w:p w14:paraId="6BC49C7A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7B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17-1.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6BC49C7C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BC49C7D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BC49C7E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бағындырумен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тоқтатылмайды</w:t>
      </w:r>
      <w:proofErr w:type="spellEnd"/>
      <w:r>
        <w:rPr>
          <w:color w:val="000000"/>
          <w:sz w:val="28"/>
        </w:rPr>
        <w:t>.</w:t>
      </w:r>
    </w:p>
    <w:p w14:paraId="6BC49C7F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BC49C80" w14:textId="77777777" w:rsidR="00A6657E" w:rsidRDefault="003B7673">
      <w:pPr>
        <w:spacing w:after="0"/>
        <w:jc w:val="both"/>
      </w:pPr>
      <w:bookmarkStart w:id="24" w:name="z33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 24-тармағының </w:t>
      </w:r>
      <w:proofErr w:type="spellStart"/>
      <w:r>
        <w:rPr>
          <w:color w:val="000000"/>
          <w:sz w:val="28"/>
        </w:rPr>
        <w:t>түсініктемесіне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135-бабы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bookmarkEnd w:id="24"/>
    <w:p w14:paraId="6BC49C81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BC49C82" w14:textId="77777777" w:rsidR="00A6657E" w:rsidRDefault="003B7673">
      <w:pPr>
        <w:spacing w:after="0"/>
        <w:jc w:val="both"/>
      </w:pPr>
      <w:bookmarkStart w:id="25" w:name="z36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Абайсыздан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128-бабында  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</w:t>
      </w:r>
    </w:p>
    <w:bookmarkEnd w:id="25"/>
    <w:p w14:paraId="6BC49C83" w14:textId="77777777" w:rsidR="00A6657E" w:rsidRDefault="00A6657E">
      <w:pPr>
        <w:spacing w:after="0"/>
      </w:pPr>
    </w:p>
    <w:p w14:paraId="6BC49C84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сырқаттар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>, АИТВ/ЖИТС-</w:t>
      </w:r>
      <w:proofErr w:type="spellStart"/>
      <w:r>
        <w:rPr>
          <w:color w:val="000000"/>
          <w:sz w:val="28"/>
        </w:rPr>
        <w:t>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венерологиялық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жұқтыру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85" w14:textId="77777777" w:rsidR="00A6657E" w:rsidRDefault="00A6657E">
      <w:pPr>
        <w:spacing w:after="0"/>
      </w:pPr>
    </w:p>
    <w:p w14:paraId="6BC49C86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proofErr w:type="gram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126</w:t>
      </w:r>
      <w:proofErr w:type="gramEnd"/>
      <w:r>
        <w:rPr>
          <w:color w:val="000000"/>
          <w:sz w:val="28"/>
        </w:rPr>
        <w:t xml:space="preserve">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135-баптарының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C49C87" w14:textId="77777777" w:rsidR="00A6657E" w:rsidRDefault="003B767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кеңістікте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зорлап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азғырып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lastRenderedPageBreak/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қолданбастан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BC49C88" w14:textId="77777777" w:rsidR="00A6657E" w:rsidRDefault="003B767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BC49C89" w14:textId="77777777" w:rsidR="00A6657E" w:rsidRDefault="003B7673">
      <w:pPr>
        <w:spacing w:after="0"/>
        <w:jc w:val="both"/>
      </w:pPr>
      <w:bookmarkStart w:id="26" w:name="z39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5"/>
        <w:gridCol w:w="3532"/>
      </w:tblGrid>
      <w:tr w:rsidR="00A6657E" w14:paraId="6BC49C8D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6BC49C8A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8B" w14:textId="77777777" w:rsidR="00A6657E" w:rsidRDefault="00A6657E">
            <w:pPr>
              <w:spacing w:after="20"/>
              <w:ind w:left="20"/>
              <w:jc w:val="both"/>
            </w:pPr>
          </w:p>
          <w:p w14:paraId="6BC49C8C" w14:textId="77777777" w:rsidR="00A6657E" w:rsidRDefault="00A6657E">
            <w:pPr>
              <w:spacing w:after="20"/>
              <w:ind w:left="20"/>
              <w:jc w:val="both"/>
            </w:pPr>
          </w:p>
        </w:tc>
      </w:tr>
      <w:tr w:rsidR="00A6657E" w14:paraId="6BC49C90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8E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8F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Б.Бекназаров</w:t>
            </w:r>
            <w:proofErr w:type="spellEnd"/>
          </w:p>
        </w:tc>
      </w:tr>
      <w:tr w:rsidR="00A6657E" w14:paraId="6BC49C94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91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92" w14:textId="77777777" w:rsidR="00A6657E" w:rsidRDefault="00A6657E">
            <w:pPr>
              <w:spacing w:after="20"/>
              <w:ind w:left="20"/>
              <w:jc w:val="both"/>
            </w:pPr>
          </w:p>
          <w:p w14:paraId="6BC49C93" w14:textId="77777777" w:rsidR="00A6657E" w:rsidRDefault="00A6657E">
            <w:pPr>
              <w:spacing w:after="20"/>
              <w:ind w:left="20"/>
              <w:jc w:val="both"/>
            </w:pPr>
          </w:p>
        </w:tc>
      </w:tr>
      <w:tr w:rsidR="00A6657E" w14:paraId="6BC49C98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95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96" w14:textId="77777777" w:rsidR="00A6657E" w:rsidRDefault="00A6657E">
            <w:pPr>
              <w:spacing w:after="20"/>
              <w:ind w:left="20"/>
              <w:jc w:val="both"/>
            </w:pPr>
          </w:p>
          <w:p w14:paraId="6BC49C97" w14:textId="77777777" w:rsidR="00A6657E" w:rsidRDefault="00A6657E">
            <w:pPr>
              <w:spacing w:after="20"/>
              <w:ind w:left="20"/>
              <w:jc w:val="both"/>
            </w:pPr>
          </w:p>
        </w:tc>
      </w:tr>
      <w:tr w:rsidR="00A6657E" w14:paraId="6BC49C9B" w14:textId="77777777">
        <w:trPr>
          <w:trHeight w:val="30"/>
          <w:tblCellSpacing w:w="0" w:type="auto"/>
        </w:trPr>
        <w:tc>
          <w:tcPr>
            <w:tcW w:w="7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99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9C9A" w14:textId="77777777" w:rsidR="00A6657E" w:rsidRDefault="003B767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Д.Нұралин</w:t>
            </w:r>
            <w:proofErr w:type="spellEnd"/>
          </w:p>
        </w:tc>
      </w:tr>
    </w:tbl>
    <w:p w14:paraId="6BC49C9C" w14:textId="77777777" w:rsidR="00A6657E" w:rsidRDefault="003B7673">
      <w:pPr>
        <w:spacing w:after="0"/>
      </w:pPr>
      <w:r>
        <w:br/>
      </w:r>
    </w:p>
    <w:p w14:paraId="6BC49C9D" w14:textId="77777777" w:rsidR="00A6657E" w:rsidRDefault="003B7673">
      <w:pPr>
        <w:spacing w:after="0"/>
      </w:pPr>
      <w:r>
        <w:br/>
      </w:r>
      <w:r>
        <w:br/>
      </w:r>
    </w:p>
    <w:p w14:paraId="6BC49C9E" w14:textId="77777777" w:rsidR="00A6657E" w:rsidRDefault="003B767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6657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7E"/>
    <w:rsid w:val="003B7673"/>
    <w:rsid w:val="00674509"/>
    <w:rsid w:val="00A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C27"/>
  <w15:docId w15:val="{D63A1B47-37B7-4A72-B290-BB246355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4217</Words>
  <Characters>24043</Characters>
  <Application>Microsoft Office Word</Application>
  <DocSecurity>0</DocSecurity>
  <Lines>200</Lines>
  <Paragraphs>56</Paragraphs>
  <ScaleCrop>false</ScaleCrop>
  <Company/>
  <LinksUpToDate>false</LinksUpToDate>
  <CharactersWithSpaces>28204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2023-07-29T17:35:00Z</dcterms:created>
  <dcterms:modified xsi:type="dcterms:W3CDTF">2023-08-17T09:37:00Z</dcterms:modified>
</cp:coreProperties>
</file>