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BC628" w14:textId="508E16BE" w:rsidR="00D720AB" w:rsidRPr="0021045F" w:rsidRDefault="00CA1BA1" w:rsidP="0021045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45F">
        <w:rPr>
          <w:rFonts w:ascii="Times New Roman" w:hAnsi="Times New Roman" w:cs="Times New Roman"/>
          <w:b/>
          <w:bCs/>
          <w:sz w:val="24"/>
          <w:szCs w:val="24"/>
        </w:rPr>
        <w:t>Договорные отношения</w:t>
      </w:r>
      <w:r w:rsidR="00F31A31">
        <w:rPr>
          <w:rFonts w:ascii="Times New Roman" w:hAnsi="Times New Roman" w:cs="Times New Roman"/>
          <w:b/>
          <w:bCs/>
          <w:sz w:val="24"/>
          <w:szCs w:val="24"/>
          <w:lang w:val="kk-KZ"/>
        </w:rPr>
        <w:t>,</w:t>
      </w:r>
      <w:r w:rsidRPr="0021045F">
        <w:rPr>
          <w:rFonts w:ascii="Times New Roman" w:hAnsi="Times New Roman" w:cs="Times New Roman"/>
          <w:b/>
          <w:bCs/>
          <w:sz w:val="24"/>
          <w:szCs w:val="24"/>
        </w:rPr>
        <w:t xml:space="preserve"> при договоре о строительстве «под ключ» подрядчик принимает на себя все обязанности по строительству и его обеспечению и должен сдать заказчику объект, готовый к эксплуатации, согласно условиям договора</w:t>
      </w:r>
    </w:p>
    <w:p w14:paraId="5E33B9DB" w14:textId="77777777" w:rsidR="00D720AB" w:rsidRPr="0021045F" w:rsidRDefault="00D720A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7C1474" w14:textId="77777777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 xml:space="preserve">Товарищество с ограниченной ответственностью «Компания 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жол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жөндеуші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>» (переименовано в ТОО «I») и ТОО «KAZ» (КАЗ) (далее – Консорциум, заказчик) обратились в суд к АО «Н» (далее – АО, подрядчик) о понуждении рассмотреть и утвердить сводный расчет и локальные сметы на пуско-наладочные работы по проекту строительства железнодорожной линии «Аркалык-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Шубарколь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». Решением специализированного межрайонного экономического суда города Астана от 24 июля 2017 года в иске отказано. </w:t>
      </w:r>
    </w:p>
    <w:p w14:paraId="645BC3A1" w14:textId="77777777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суда города Астана от 11 октября 2017 года решение суда отменено и вынесено новое решение об удовлетворении иска. На АО возложена обязанность рассмотреть и утвердить сводный расчет и локальные сметы на 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пусконаладночные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 работы по проекту строительства железнодорожной линии «Аркалык-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Шубарколь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». Судебная коллегия по гражданским делам Верховного Суда отменила постановление апелляционной инстанции, оставив в силе решение суда первой инстанции по следующим основаниям. </w:t>
      </w:r>
    </w:p>
    <w:p w14:paraId="7DA449CE" w14:textId="77777777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>Судом установлено, что между Консорциумом и АО заключен договор от 28 мая 2012 года № 3-ЦУЖДС (далее – договор № 3) и договор от 28 июня 2012 года № 6-ЦУЖДС (далее договор № 6) о долгосрочных закупках работ по строительству на условиях «под ключ» железнодорожной линии «Аркалык-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Шубарколь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». Согласно условиям договора № 3 подрядчик принял обязательства о выполнении работ по строительству объектов на участке станции «Аркалык-станция 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Майбулак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» в сумме 70 150 284 895 тенге, в том числе налог на добавленную стоимость (далее – НДС). Дополнительным соглашением от 8 сентября 2015 года стоимость договора № 3 уменьшена до 57 413 327 171 тенге, включая НДС. </w:t>
      </w:r>
    </w:p>
    <w:p w14:paraId="614E8428" w14:textId="77777777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>По условиям договора № 6 подрядчик принял обязательства о выполнении работ по строительству железнодорожной линии «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АркалыкШубарколь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»: объектов на участке станции 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Шубарколь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-станция 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Майбулак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 в сумме 49 500 117 036 тенге с НДС. Дополнительным соглашением от 9 сентября 2015 года сумма договора увеличена до 53 898 240 139 тенге с учетом НДС. Консорциум в исковом требовании указывал, что в 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проектносметную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 документацию (далее – ПСД) строительства объектов не заложены затраты на пуско-наладочные работы. </w:t>
      </w:r>
    </w:p>
    <w:p w14:paraId="1B58D96E" w14:textId="395EDDF5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 xml:space="preserve">Суд первой инстанции, отказывая в иске, исходил из того, что по условиям договоров генеральным подрядчиком принята обязанность по строительству и сдаче объекта, готового к эксплуатации, в том числе </w:t>
      </w:r>
      <w:hyperlink r:id="rId6" w:history="1">
        <w:r w:rsidRPr="00CD50A8">
          <w:rPr>
            <w:rStyle w:val="aa"/>
            <w:rFonts w:ascii="Times New Roman" w:hAnsi="Times New Roman" w:cs="Times New Roman"/>
            <w:sz w:val="24"/>
            <w:szCs w:val="24"/>
          </w:rPr>
          <w:t>проведение испытаний и пуско-наладочных работ. Принята</w:t>
        </w:r>
      </w:hyperlink>
      <w:r w:rsidRPr="0021045F">
        <w:rPr>
          <w:rFonts w:ascii="Times New Roman" w:hAnsi="Times New Roman" w:cs="Times New Roman"/>
          <w:sz w:val="24"/>
          <w:szCs w:val="24"/>
        </w:rPr>
        <w:t xml:space="preserve"> обязанность разработать ПСД в соответствии с заданием на проектирование и </w:t>
      </w:r>
      <w:proofErr w:type="spellStart"/>
      <w:r w:rsidRPr="0021045F">
        <w:rPr>
          <w:rFonts w:ascii="Times New Roman" w:hAnsi="Times New Roman" w:cs="Times New Roman"/>
          <w:sz w:val="24"/>
          <w:szCs w:val="24"/>
        </w:rPr>
        <w:t>техникоэкономическим</w:t>
      </w:r>
      <w:proofErr w:type="spellEnd"/>
      <w:r w:rsidRPr="0021045F">
        <w:rPr>
          <w:rFonts w:ascii="Times New Roman" w:hAnsi="Times New Roman" w:cs="Times New Roman"/>
          <w:sz w:val="24"/>
          <w:szCs w:val="24"/>
        </w:rPr>
        <w:t xml:space="preserve"> обоснованием. Суд апелляционной инстанции, отменяя решение суда и удовлетворяя иск, мотивировал тем, что согласно заданию по разработке ПСД объектов строительства предусмотрена обязанность истца определить объем пуско-наладочных работ с составлением смет на их выполнение. </w:t>
      </w:r>
    </w:p>
    <w:p w14:paraId="447A8DE6" w14:textId="77777777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 xml:space="preserve">Сводная смета подлежит отраслевой и государственной экспертизе после согласования с ответчиком, которая не рассмотрена и не утверждена им. Вместе с тем с такими выводами суда апелляционной инстанции нельзя согласиться, поскольку они основаны на неправильном применении норм материального права и не соответствуют обстоятельствам дела. В соответствии с пунктом 3 статьи 651 Гражданского кодекса Республики Казахстан (далее – </w:t>
      </w:r>
      <w:r w:rsidRPr="0021045F">
        <w:rPr>
          <w:rFonts w:ascii="Times New Roman" w:hAnsi="Times New Roman" w:cs="Times New Roman"/>
          <w:sz w:val="24"/>
          <w:szCs w:val="24"/>
        </w:rPr>
        <w:lastRenderedPageBreak/>
        <w:t xml:space="preserve">ГК) при договоре о строительстве «под ключ» подрядчик принимает на себя все обязанности по строительству и его обеспечению и должен сдать заказчику объект, готовый к эксплуатации, согласно договорным условиям. </w:t>
      </w:r>
    </w:p>
    <w:p w14:paraId="72C974AE" w14:textId="77777777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 xml:space="preserve">Согласно пункту 1 статьи 654 ГК подрядчик обязан осуществлять строительство и связанные с ним работы в соответствии с проектной документацией, определяющей объем, содержание работ и другие предъявляемые к работам требования, и сметой, определяющей цену работ. При отсутствии иных указаний в договоре предполагается, что подрядчик обязан выполнить все работы, указанные в проектной документации и в смете (проектно-сметной документации). В силу пункта 4 статьи 652 ГК договором может быть предусмотрено перенесение на подрядчика возможных строительных рисков (строительство «под ключ»). </w:t>
      </w:r>
    </w:p>
    <w:p w14:paraId="2997EA5C" w14:textId="77777777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 xml:space="preserve">Установлено, что при прохождении ПСД экспертизы в РГП «Госэкспертиза» пуско-наладочные работы были исключены, в связи с этим сметная документация по данным работам не была рассмотрена и принята в производство работ. Письмо от 5 ноября 2013 года, на которое ссылается суд апелляционной инстанции, не может быть принято во внимание в качестве достоверного и допустимого доказательства. </w:t>
      </w:r>
    </w:p>
    <w:p w14:paraId="4CDC7A13" w14:textId="77777777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 xml:space="preserve">В связи с дефицитом средств у АО было принято решение о разделении строительства объекта на 1-ю и 2-ю очереди строительства. Договоры по </w:t>
      </w:r>
      <w:proofErr w:type="gramStart"/>
      <w:r w:rsidRPr="0021045F">
        <w:rPr>
          <w:rFonts w:ascii="Times New Roman" w:hAnsi="Times New Roman" w:cs="Times New Roman"/>
          <w:sz w:val="24"/>
          <w:szCs w:val="24"/>
        </w:rPr>
        <w:t>1-ой</w:t>
      </w:r>
      <w:proofErr w:type="gramEnd"/>
      <w:r w:rsidRPr="0021045F">
        <w:rPr>
          <w:rFonts w:ascii="Times New Roman" w:hAnsi="Times New Roman" w:cs="Times New Roman"/>
          <w:sz w:val="24"/>
          <w:szCs w:val="24"/>
        </w:rPr>
        <w:t xml:space="preserve"> очереди были выполнены и актом государственной приемочной комиссии строительство принято в эксплуатацию, а строительство 2-ой очереди исключено, так как не влияет на безопасность железнодорожного транспорта. Следовательно, заслуживают внимания доводы заявителя о том, что утверждение сводного расчета и локальных смет на пуско-наладочные работы повлекут в последующем увеличение суммы договоров и дополнительные затраты, о чем свидетельствует переписка сторон о компенсации понесенных затрат на выполнение пуско-наладочных работ. Договоры на строительство заключались в соответствии с Правилами закупок товаров, работ и услуг АО «Фонд национального благосостояния «С» и организациями, пятьдесят и более процентов голосующих акций (долей участия) которых прямо или косвенно принадлежат АО «С» на праве собственности или доверительного управления способом проведения открытого тендера. </w:t>
      </w:r>
    </w:p>
    <w:p w14:paraId="6888296D" w14:textId="77777777" w:rsid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 xml:space="preserve">Таким образом, судебная коллегия считает обоснованными доводы ходатайства о том, что в проект заложены средства республиканского бюджета, что в свою очередь уже исключает непредусмотренные затраты. По изложенным выше мотивам, учитывая, что по делу не требуется сбора и дополнительной проверки доказательств, обстоятельства спора установлены полно, однако судом апелляционной инстанции допущена ошибка в оценке доказательств, истолковании и применении норм материального права, судебная коллегия считает, что следует отменить апелляционное постановление с оставлением в силе решения суда первой инстанции. </w:t>
      </w:r>
    </w:p>
    <w:p w14:paraId="00379CCD" w14:textId="5F8C29FD" w:rsidR="00A81D5F" w:rsidRPr="0021045F" w:rsidRDefault="00D720AB" w:rsidP="0021045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>В силу статьи 109 Гражданского процессуального кодекса Республики Казахстан в пользу заявителя с Консорциума подлежит взысканию государственная пошлина, уплаченная при подаче ходатайства в Верховный Суд 50 % от ставки государственной пошлины, установленной в пункте 1 статьи 610 Кодекса Республики Казахстан «О налогах и других обязательных платежах в бюджет» (</w:t>
      </w:r>
      <w:hyperlink r:id="rId7" w:history="1">
        <w:r w:rsidRPr="0021045F">
          <w:rPr>
            <w:rStyle w:val="aa"/>
            <w:rFonts w:ascii="Times New Roman" w:hAnsi="Times New Roman" w:cs="Times New Roman"/>
            <w:sz w:val="24"/>
            <w:szCs w:val="24"/>
          </w:rPr>
          <w:t>Налоговый кодекс) при подаче искового заявления</w:t>
        </w:r>
      </w:hyperlink>
      <w:r w:rsidRPr="0021045F">
        <w:rPr>
          <w:rFonts w:ascii="Times New Roman" w:hAnsi="Times New Roman" w:cs="Times New Roman"/>
          <w:sz w:val="24"/>
          <w:szCs w:val="24"/>
        </w:rPr>
        <w:t xml:space="preserve"> неимущественного характера, в сумме 601 тенге. Вместе с тем АО при подаче ходатайства излишне в бюджет оплачена государственная пошлина в сумме 602 тенге, которая подлежит возвращению в силу статьи 108 Налогового кодекса.</w:t>
      </w:r>
      <w:r w:rsidR="00CF5BD5" w:rsidRPr="0021045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21045F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21045F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21045F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2104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9D02F" w14:textId="77777777" w:rsidR="00A13412" w:rsidRDefault="00A13412" w:rsidP="00702393">
      <w:pPr>
        <w:spacing w:after="0" w:line="240" w:lineRule="auto"/>
      </w:pPr>
      <w:r>
        <w:separator/>
      </w:r>
    </w:p>
  </w:endnote>
  <w:endnote w:type="continuationSeparator" w:id="0">
    <w:p w14:paraId="12C1C861" w14:textId="77777777" w:rsidR="00A13412" w:rsidRDefault="00A1341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66D03" w14:textId="77777777" w:rsidR="00A13412" w:rsidRDefault="00A13412" w:rsidP="00702393">
      <w:pPr>
        <w:spacing w:after="0" w:line="240" w:lineRule="auto"/>
      </w:pPr>
      <w:r>
        <w:separator/>
      </w:r>
    </w:p>
  </w:footnote>
  <w:footnote w:type="continuationSeparator" w:id="0">
    <w:p w14:paraId="44E9944D" w14:textId="77777777" w:rsidR="00A13412" w:rsidRDefault="00A1341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1045F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13412"/>
    <w:rsid w:val="00A23573"/>
    <w:rsid w:val="00A45B15"/>
    <w:rsid w:val="00A81D5F"/>
    <w:rsid w:val="00B31BDB"/>
    <w:rsid w:val="00BD7730"/>
    <w:rsid w:val="00C16D9C"/>
    <w:rsid w:val="00CA1BA1"/>
    <w:rsid w:val="00CB275A"/>
    <w:rsid w:val="00CD50A8"/>
    <w:rsid w:val="00CF5BD5"/>
    <w:rsid w:val="00D02DFB"/>
    <w:rsid w:val="00D720AB"/>
    <w:rsid w:val="00DB660C"/>
    <w:rsid w:val="00EE78AD"/>
    <w:rsid w:val="00F173BA"/>
    <w:rsid w:val="00F31A31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1045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104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2021-11-30T18:33:00Z</dcterms:modified>
</cp:coreProperties>
</file>