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9B" w:rsidRPr="004F559B" w:rsidRDefault="004F559B" w:rsidP="004F559B">
      <w:pPr>
        <w:spacing w:after="0" w:line="240" w:lineRule="auto"/>
        <w:ind w:left="141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9B">
        <w:rPr>
          <w:rFonts w:ascii="Times New Roman" w:hAnsi="Times New Roman" w:cs="Times New Roman"/>
          <w:b/>
          <w:sz w:val="28"/>
          <w:szCs w:val="28"/>
        </w:rPr>
        <w:t>НОРМАТИВНОЕ ПОСТАНОВЛЕНИЕ № 8</w:t>
      </w:r>
    </w:p>
    <w:p w:rsidR="004F559B" w:rsidRDefault="004F559B" w:rsidP="004F559B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59B">
        <w:rPr>
          <w:rFonts w:ascii="Times New Roman" w:hAnsi="Times New Roman" w:cs="Times New Roman"/>
          <w:b/>
          <w:sz w:val="28"/>
          <w:szCs w:val="28"/>
        </w:rPr>
        <w:t>ВЕРХОВНОГО СУДА РЕСПУБЛИКИ КАЗАХСТАН</w:t>
      </w:r>
    </w:p>
    <w:p w:rsidR="004F559B" w:rsidRPr="004F559B" w:rsidRDefault="004F559B" w:rsidP="004F559B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559B" w:rsidRPr="004F559B" w:rsidRDefault="004F559B" w:rsidP="004F559B">
      <w:pPr>
        <w:jc w:val="both"/>
        <w:rPr>
          <w:rFonts w:ascii="Times New Roman" w:hAnsi="Times New Roman" w:cs="Times New Roman"/>
          <w:sz w:val="28"/>
          <w:szCs w:val="28"/>
        </w:rPr>
      </w:pPr>
      <w:r w:rsidRPr="004F559B">
        <w:rPr>
          <w:rFonts w:ascii="Times New Roman" w:hAnsi="Times New Roman" w:cs="Times New Roman"/>
          <w:sz w:val="28"/>
          <w:szCs w:val="28"/>
        </w:rPr>
        <w:t>«25» ноября 2016 года</w:t>
      </w:r>
      <w:r w:rsidRPr="004F559B">
        <w:rPr>
          <w:rFonts w:ascii="Times New Roman" w:hAnsi="Times New Roman" w:cs="Times New Roman"/>
          <w:sz w:val="28"/>
          <w:szCs w:val="28"/>
        </w:rPr>
        <w:tab/>
      </w:r>
      <w:r w:rsidRPr="004F559B">
        <w:rPr>
          <w:rFonts w:ascii="Times New Roman" w:hAnsi="Times New Roman" w:cs="Times New Roman"/>
          <w:sz w:val="28"/>
          <w:szCs w:val="28"/>
        </w:rPr>
        <w:tab/>
      </w:r>
      <w:r w:rsidRPr="004F559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город Астана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56">
        <w:rPr>
          <w:rFonts w:ascii="Times New Roman" w:hAnsi="Times New Roman" w:cs="Times New Roman"/>
          <w:b/>
          <w:sz w:val="28"/>
          <w:szCs w:val="28"/>
        </w:rPr>
        <w:t>«О некоторых вопросах применения судами экологического     законодательства Республики Казахстан по гражданским делам»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целях обеспечения единообразного применения судами экологического законодательства Республики Казахстан по гражданским делам пленарное заседание Верховного Суда Республики Казахстан                                                     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56" w:rsidRPr="00662F56" w:rsidRDefault="00662F56" w:rsidP="00662F5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Экологическое законодательство основывается на Конституции Республики Казахстан и состоит из Экологического кодекса Республики Казахстан (далее – ЭК), кодексов Республики Казахстан «О здоровье народа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62F56">
        <w:rPr>
          <w:rFonts w:ascii="Times New Roman" w:hAnsi="Times New Roman" w:cs="Times New Roman"/>
          <w:sz w:val="28"/>
          <w:szCs w:val="28"/>
        </w:rPr>
        <w:t>и системе здравоохранения», Земельного, Лесного и Водного, законов Республики Казахстан от 23 апреля 1998 года № 219-I «О радиационной безопасности населения» (далее -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>Закон о радиационной безопасности), от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16 июля 2001 года </w:t>
      </w:r>
      <w:r w:rsidR="00BB5883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662F56">
        <w:rPr>
          <w:rFonts w:ascii="Times New Roman" w:hAnsi="Times New Roman" w:cs="Times New Roman"/>
          <w:sz w:val="28"/>
          <w:szCs w:val="28"/>
        </w:rPr>
        <w:t>№ 242-II «Об архитектурной, градостроительной и строительной деятельности», от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9 июля 2004 года № 593-II «Об охране, воспроизводстве и использовании животного мира» (далее - Закон об охране животного мира), от 7 июля 2006 года № 175-ІІІ «Об особо охраняемых природных территориях» (далее - Закон об особо охраняемых территориях), от 24 июня 2010 года № 291-IV «О недрах и недропользовании» (далее - Закон о недрах) и иных нормативных правовых актов.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2. Правила применения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в случае противоречия его норм международным договорам, а также иным законам Республики Казахстан, регулирующих отношения в области охраны окружающей среды, предусмотрены пунктами 2 и 3 статьи 2 ЭК. Экологическое законодательство регулирует отношения по охране, воспроизводству, использованию, защите природных объектов и охране жизни и здоровья человека.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Понятие охраны окружающей среды дано в подпункте 46) статьи 1 ЭК</w:t>
      </w:r>
      <w:r w:rsidRPr="00662F5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Вопросы охраны и использования недр, вод, лесов и иных природных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ресурсов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не используемых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в хозяйственной деятельности, животных и растений,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занесенных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 Правила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ведения Красной книги Республики Казахстан,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2 июня 2012 года № 734, в части, 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не урегулированной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, регулируются законами об охране животного мира, об особо охраняемых территориях, о недрах, другими специальными законами, нормативными правовыми актами.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3. Природные ресурсы в Республике Казахстан могут находиться в общем либо специальном природопользовании (статья 10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). Под объектом права природопользования следует понимать индивидуально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определенные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части природных ресурсов (земельный участок, водный объект, участок лесного фонда и так далее), обособленные физически (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установления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границ на местности, «в натуре»).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При общем природопользовании население вправе осуществлять постоянно и на бесплатной основе использование объектов окружающей среды для удовлетворения жизненно необходимых потребностей, без предоставления природных ресурсов в обособленное пользование, за исключением ограничений, предусмотренных экологическим законодательством.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Определение специального природопользования содержится в пункте                  4 статьи 10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. Эмиссии в окружающую среду в процессе ведения хозяйственных и иных видов деятельности осуществляются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природопользователями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на основании специальных разрешений и на платных условиях, в порядке, установленном ЭК и иными законодательными актами. Так, плата за эмиссии в окружающую среду, равно как и обязательные платежи за пользование отдельными видами природных ресурсов, устанавливается налоговым законодательством Республики Казахстан (пункт 1 статьи 101, статья 102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).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Определения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, их видов содержатся в подпункте 71) статьи 1 и статье 11 ЭК, эмиссии в окружающую среду - в подпункте </w:t>
      </w:r>
      <w:r w:rsidR="00BB588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662F56">
        <w:rPr>
          <w:rFonts w:ascii="Times New Roman" w:hAnsi="Times New Roman" w:cs="Times New Roman"/>
          <w:sz w:val="28"/>
          <w:szCs w:val="28"/>
        </w:rPr>
        <w:t>43) статьи 1 ЭК</w:t>
      </w:r>
      <w:r w:rsidRPr="00662F56">
        <w:rPr>
          <w:rFonts w:ascii="Times New Roman" w:hAnsi="Times New Roman" w:cs="Times New Roman"/>
          <w:i/>
          <w:sz w:val="28"/>
          <w:szCs w:val="28"/>
        </w:rPr>
        <w:t>.</w:t>
      </w:r>
      <w:r w:rsidRPr="00662F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Эмиссии в окружающую среду допускаются в пределах установленных лимитов, то есть нормативных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эмиссий в окружающую среду, устанавливаемых на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определенный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срок и в зависимости от категории объекта уполномоченным органом в области охраны окружающей среды либо местными исполнительными органами областей, городов республиканского значения, столицы.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Природопользователи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, осуществляющие хозяйственную и иную деятельность, в результате которой допускаются эмиссии в окружающую среду, за исключением случаев, предусмотренных пунктом 1 статьи 69 ЭК, обязаны получить лицензию и (или) экологическое разрешение на специальное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>природопользование, на осуществление конкретных видов эмиссий либо комплексное экологическое разрешение, которые выдаются уполномоченным государственным органом в области охраны окружающей среды либо местными исполнительными органами областей, городов республиканского значения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и столицы на основании поданного заявления (пункт 3 статьи 12, статьи 20, 68, 69 и 79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). Осуществление хозяйственной и иной деятельности без экологического разрешения (комплексного экологического разрешения) на эмиссии в окружающую среду либо при несвоевременном оформлении такого разрешения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ответственность, предусмотренную экологическим законодательством, и является основанием для приостановления хозяйственной или иной деятельности либо приостановления эксплуатации объекта, являющегося источником загрязнения окружающей среды.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Разрешение представляет собой комплект документов, удостоверяющих право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на эмиссии в окружающую среду, содержащие сведения о самом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и осуществляемой им хозяйственной и иной деятельности, срок действия разрешения, условия природопользования, а также план мероприятий по охране окружающей среды на период действия разрешения (подпункт 98) статьи 1, статья 70 ЭК). 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Комплексное экологическое разрешение является единым документом, удостоверяющим право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осуществлять эмиссии                           в окружающую среду с условием внедрения наилучших доступных технологий и соблюдения технических удельных нормативов эмиссий, установленных экологическим законодательством.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Разрешения (комплексные разрешения) на эмиссии в окружающую среду выдаются на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определенный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срок либо бессрочно в зависимости от категорий объектов производства и видов деятельности и до изменения применяемых технологий и условий природопользования, указанных в действующем разрешении (статьи 76, 79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случаях изменения наименования или организационно-правовой формы, реорганизации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, которые не влекут увеличения нагрузки на окружающую среду, законом предусмотрено переоформление в месячный срок разрешения на эмиссии в окружающую среду  (пункт 1 статьи 78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). На тех же условиях осуществляется переоформление разрешения на эмиссии в окружающую среду при приобретении третьим лицом права на использование объектов окружающей среды.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Невыполнение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по переоформлению разрешения на эмиссии следует считать как незаконное осуществление эмиссии в окружающую среду.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Лишение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разрешения на эмиссии в окружающую среду может быть осуществлено только в судебном порядке.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В соответствии с пунктами 1 и 2 статьи 12 ЭК использование (изъятие) природных ресурсов и осуществление отдельных видов деятельности в области охраны окружающей среды, без эмиссии в окружающую среду, не требуют экологического разрешения и осуществляются на основании лицензий или разрешений, решений Правительства или местных исполнительных органов о предоставлении природных ресурсов в порядке, установленном законами, либо договоров (контрактов) на природопользование, заключаемых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законодательными актами, в рамках права специального природопользования.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Понятие загрязнения окружающей среды дано в подпункте                            48) статьи 1 ЭК. 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Разновидностями загрязнения окружающей среды являются: химическое, механическое (засорение), биологическое и радиоактивное (заражение), физическое (радиационное, акустическое или электромагнитное излучения, вибрация и иные вредные физические воздействия).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При применении экологического законодательства следует</w:t>
      </w:r>
      <w:r w:rsidR="00BB5883">
        <w:rPr>
          <w:rFonts w:ascii="Times New Roman" w:hAnsi="Times New Roman" w:cs="Times New Roman"/>
          <w:sz w:val="28"/>
          <w:szCs w:val="28"/>
        </w:rPr>
        <w:t xml:space="preserve"> иметь</w:t>
      </w:r>
      <w:r w:rsidR="00BB5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>в виду, что юридически значимым является загрязнение, которое превышает допустимые нормативы качества окружающей среды либо, хотя и не превышает их, но впоследствии причинившее ей существенный вред. Понятия загрязнения отдельных объектов окружающей среды содержатся в законодательстве.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Под нормативами качества окружающей среды понимаются показатели, характеризующие благоприятное для жизни и здоровья человека состояние окружающей среды и природных ресурсов.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К числу основных факторов загрязнения окружающей среды относятся: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хозяйственная и иная деятельность, осуществляемая с нарушением установленных норм и правил в области охраны окружающей среды;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аварии, катастрофы и стихийные бедствия;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размещение на территории страны отходов.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Источниками загрязнения выступают объекты, с которых происходят эмиссии вредных веществ в окружающую среду.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При рассмотрении данной категории дел надлежит выяснять, к какому виду источников эмиссий загрязняющих веществ (передвижному или стационарному)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относится то или иное оборудование (аппарат, установка, агрегат), исходя из его предназначения, технологических характеристик и выполняемой работы, физических габаритов и других показателей.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Так, по аналогии с подпунктом</w:t>
      </w:r>
      <w:r w:rsidR="008513F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65-3) статьи 1 ЭК буровая установка, хотя бы конструктивно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закрепленная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на транспортном средстве, которое перемещает эту установку, не относится к передвижным источникам, поскольку непосредственно процесс работы установки (бурение) происходит при остановке транспортного средства, то есть в стационарном положении.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8. Под экологическим правонарушением понимается действие (бездействие), нарушающее экологическое законодательство и причиняющее вред окружающей среде, здоровью и жизни человека, имуществу физических и (или) юридических лиц, индивидуальных предпринимателей без образования юридического лица, государств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62F56">
        <w:rPr>
          <w:rFonts w:ascii="Times New Roman" w:hAnsi="Times New Roman" w:cs="Times New Roman"/>
          <w:sz w:val="28"/>
          <w:szCs w:val="28"/>
        </w:rPr>
        <w:t xml:space="preserve"> либо создающее реальную угрозу такого причинения.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Объектами экологического правонарушения являются общественные отношения в сфере взаимодействия общества и природы, управленческие отношения в сфере природопользования, отношения права собственности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иных прав на природные ресурсы, как объекты охраны окружающей среды    от уничтожения, деградации, повреждения, загрязнения и иного вредного воздействия, окружающей среды и находящихся в ней в естественной взаимосвязи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отдельных компонентов, по поводу которых возникает                             и осуществляется деятельность субъектов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этих правоотношений, а также жизни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здоровья человека, имущества физических и (или) юридических лиц, индивидуальных предпринимателей без образования юридического лица, интересов государства.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9. Субъектами загрязнения (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причинителями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вреда) могут быть признаны любые физические и юридические лица: государственные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>и негосударственные, резиденты и нерезиденты.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>Физические и юридические лица, причинившие вред окружающей среде, жизни и здоровью граждан, имуществу физических и (или) юридических лиц, индивидуальных предпринимателей без образования юридического лица,       или государств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62F56">
        <w:rPr>
          <w:rFonts w:ascii="Times New Roman" w:hAnsi="Times New Roman" w:cs="Times New Roman"/>
          <w:sz w:val="28"/>
          <w:szCs w:val="28"/>
        </w:rPr>
        <w:t xml:space="preserve"> вследствие нарушения экологического законодательства, обязаны возместить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вред, за исключением случаев причинения вреда не по их вине в соответствии с пунктом 2 статьи 917 Гражданского кодекса Республики Казахстан (далее - ГК).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10. Нарушение экологического законодательства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имущественную (гражданско-правовую), административную, уголовную ответственность.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пункту 2 статьи 321 ЭК возмещению подлежит ущерб,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среде, жизни и здоровью граждан, имуществу физических и (или) юридических лиц, индивидуальных предпринимателей без образования юридического лица, государств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вследствие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: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уничтожения и повреждения природных ресурсов, в том числе несогласованных залповых выбросов и сбросов, размещения отходов производства и потребления;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незаконного и нерационального использования природных ресурсов;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самовольных эмиссий;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сверхнормативных эмиссий в окружающую среду.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>В соответствии с подпунктом 42) статьи 1 ЭК под ущербом окружающей среде понимается загрязнение окружающей среды или изъятие природных ресурсов свыше установленных нормативов, в том числе при отсутствии надлежаще оформленного разрешения, либо нарушение естественного состояния окружающей среды, вызвавшее или вызывающее деградацию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>и истощение природных ресурсов или гибель живых организмов.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>Не рассматриваются в качестве ущерба окружающей среде случаи сверхнормативного размещения отходов, сверхнормативного сброса загрязняющих веществ в объекты, оборудованные и предназначенные                       для размещения отходов и сброса сточных вод, а также случаи попадания химических веществ или розлива сточных вод на производственные площадки, ограниченные защитными сооружениями, предотвращающими загрязнение земной поверхности, недр и подземных вод.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Не относятся к самовольным</w:t>
      </w:r>
      <w:r w:rsidR="008513F1">
        <w:rPr>
          <w:rFonts w:ascii="Times New Roman" w:hAnsi="Times New Roman" w:cs="Times New Roman"/>
          <w:sz w:val="28"/>
          <w:szCs w:val="28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сверхнормативным эмиссиям случаи отклонения от программ развития переработки попутного газа, а также проектной документации и проектов нормативов эмиссий в окружающую среду, в том числе изменения сценариев и (или) графиков сжигания газа, представленных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на государственную экологическую экспертизу (далее - ГЭЭ) и не влекущих превышения допустимого количества вредных веществ и нормативов предельно допустимых эмиссий (пункты 7, 8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и 9 статьи 321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).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>В силу требований пункта 1 статьи 7 Закона Республики Казахстан                   от 13 декабря 2005 года № 93-III «Об обязательном экологическом страховании» (далее - Закон об экологическом страховании) физические и (или) юридические лица, индивидуальные предприниматели без образования юридического лица, осуществляющие экологически опасные виды хозяйственной и иной деятельности, не вправе осуществлять свою деятельность без заключения договора обязательного экологического страхования.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При наличии более одного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владельца такого юридического лица указанный договор заключается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с любым из них с указанием в страховом полисе всех владельцев объекта в качестве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застрахованных.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11. Под понятиями уничтожение и повреждение природных ресурсов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и незаконное и нерациональное использование природных ресурсов судам следует понимать: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уничтожение и повреждение природных ресурсов - исходя из степени опасности общественно опасных последствий, это полная потеря ими их специфической хозяйственной, товарной, ландшафтно-рекреационной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экосистемной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(водорегулирующей, почвозащитной, климатообразующей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другой) ценности, восстановление которой невозможно или требует проведения рекультивации земель, лесопосадочных, дноочистительных и других работ, либо частичная потеря ими их специфической ценности, допускающая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восстановление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проведения работ по планировке 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залужению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почв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от поверхностного загрязнения, либо самовосстановление природного ресурса; 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незаконное и нерациональное использование природных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ресурсов - действия, совершенные без разрешения на специальное природопользование, получаемое в порядке, установленном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12 ЭК, без договора (контракта), акта на право пользования или владения земельным участком (контрактной территорией), лесорубочного билета или ордера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на побочное лесопользование; либо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разрешенное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специальное природопользование, приведшее к снижению специфической ценности природных ресурсов вследствие бесхозяйственности и </w:t>
      </w:r>
      <w:r w:rsidR="0027230C">
        <w:rPr>
          <w:rFonts w:ascii="Times New Roman" w:hAnsi="Times New Roman" w:cs="Times New Roman"/>
          <w:sz w:val="28"/>
          <w:szCs w:val="28"/>
        </w:rPr>
        <w:t>низкого технологического уровня.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Определения сверхнормативных эмиссий и самовольных эмиссий содержатся, соответственно, в подпунктах 56-1) и 61-1) статьи 1 ЭК. При этом судам следует иметь в виду, что эмиссии в окружающую среду, выразившиеся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в превышении установленных лимитов выбросов, сбросов и размещения загрязняющих веществ, выявленные в ходе государственного контроля инструментальными, аналитическими или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расчетными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методами и не зафиксированные ведомственным и </w:t>
      </w:r>
      <w:bookmarkStart w:id="0" w:name="_GoBack"/>
      <w:bookmarkEnd w:id="0"/>
      <w:r w:rsidRPr="00662F56">
        <w:rPr>
          <w:rFonts w:ascii="Times New Roman" w:hAnsi="Times New Roman" w:cs="Times New Roman"/>
          <w:sz w:val="28"/>
          <w:szCs w:val="28"/>
        </w:rPr>
        <w:t>производственным контролем, также являются самоволь</w:t>
      </w:r>
      <w:r w:rsidR="0027230C">
        <w:rPr>
          <w:rFonts w:ascii="Times New Roman" w:hAnsi="Times New Roman" w:cs="Times New Roman"/>
          <w:sz w:val="28"/>
          <w:szCs w:val="28"/>
        </w:rPr>
        <w:t>ной эмиссией</w:t>
      </w:r>
      <w:proofErr w:type="gramEnd"/>
      <w:r w:rsidR="0027230C">
        <w:rPr>
          <w:rFonts w:ascii="Times New Roman" w:hAnsi="Times New Roman" w:cs="Times New Roman"/>
          <w:sz w:val="28"/>
          <w:szCs w:val="28"/>
        </w:rPr>
        <w:t xml:space="preserve"> в окружающую среду.</w:t>
      </w:r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Понятие аварийного загрязнения окружающей среды дано в подпункте </w:t>
      </w:r>
      <w:r w:rsidR="008513F1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49) статьи 1 ЭК, подпункте 2) статьи 1 Закона об экологическом страховании. 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При предъявления иска в суд о возмещении вреда,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среде, он должен быть мотивированным, содержать ссылки на нормы материального и процессуального права, иметь доказательства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lastRenderedPageBreak/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ущерба и причинной связи между противоправными действиями (бездействием) виновного лица 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причиненным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ущербом.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При рассмотрении дел суды должны выяснять обстоятельства, свидетельствующие о наступлении вредных последствий. В частности, имело ли место загрязнение окружающей среды или изъятие природных ресурсов свыше установленных нормативов, вызвавшее деградацию и истощение природных ресурсов или гибель живых организмов. Также необходимо принимать меры к установлению иных обстоятельств совершенного экологического правонарушения.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13. По общему правилу вина является основанием привлечения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к имущественной ответственности за причинение вреда окружающей среде (пункт 1 статьи 917 ГК).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отдельных случаях допускается возложение ответственности за вред,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среде, независимо от наличия вины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недропользователь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, осуществляющий нефтяные операции на море,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несет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ответственность в случае загрязнения моря вне зависимости от наличия вины, если не докажет, что вред возник вследствие непреодолимой силы или отсутствия умысла потерпевшего (пункт 4 статьи 93 Закона о недрах).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931 ГК, пунктом 5 статьи 321 ЭК физические и (или) юридические лица, индивидуальные предприниматели без образования юридического лица, деятельность которых связана с повышенной опасностью для охраны окружающей среды, также возмещают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вред независимо от наличия их вины, если не докажут, что вред возник вследствие непреодолимой силы или умысла потерпевшего.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Если страхователь, ответственность которого подлежит обязательному экологическому страхованию, застраховался как владелец объекта, деятельность которого связана с опасностью причинения вреда третьим лицам, то договор обязательного экологического страхования заключается в части страхования гражданско-правовой ответственности за причинение вреда окружающей среде (пункт 2 статьи 1 Закона об экологическом страховании).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Вопрос о том, представляет ли деятельность физического или юридического лица, индивидуального предпринимателя без образования юридического лица,  повышенную опасность для окружающей среды, решается судом с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положений экологического законодательства и, в том числе, приказа Министра энергетики Республики Казахстан  от 21 января 2015 года № 27 «Об утверждении Перечня экологически опасных видов хозяйственной и иной деятельности».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14. При совместном причинении вреда окружающей среде несколькими лицами в соответствии со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932 ГК на них возлагается солидарная ответственность. По заявлению истца можно возложить на виновных лиц долевую ответственность, если такой порядок взыскания соответствует интересам охраны окружающей среды, обеспечивает эффективное и полное возмещение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вреда.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Суд, возлагая на виновных лиц долевую ответственность, должен исходить из степени вины каждого из них. При невозможности определить степень вины каждого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вреда размер ответственности устанавливается исходя из равенства долей. При совершении экологического правонарушения несколькими лицами возложение солидарной либо долевой ответственности за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вред допускается лишь по тем эпизодам,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по которым установлено совместное участие указанных лиц.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Суд вправе в соответствии с пунктом 5 статьи 935 ГК принять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во внимание имущественное положение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причинителя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и уменьшить размер возмещения вреда, за исключением случаев, когда вред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юридическим лицом, индивидуальным предпринимателем без образования юридического лица либо умышленными действиями физического лица.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Истцами по делам о возмещении ущерба,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среде, а также об ограничении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62F56">
        <w:rPr>
          <w:rFonts w:ascii="Times New Roman" w:hAnsi="Times New Roman" w:cs="Times New Roman"/>
          <w:sz w:val="28"/>
          <w:szCs w:val="28"/>
        </w:rPr>
        <w:t xml:space="preserve"> приостановлении и прекращении хозяйственной и иной деятельности физических или юридических лиц, индивидуальных предпринимателей без образования юридического лица, оказывающей отрицательное воздействие на окружающую среду, жизнь и здоровье человека, могут выступать уполномоченный орган в области окружающей среды и специально уполномоченные государственные органы в области охраны окружающей среды, охраны, воспроизводства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и использования природных ресурсов, их территориальные подразделения, государственные органы в пределах своей компетенции, физические и (или) юридические лица, индивидуальные предприниматели без образования юридического лица, прокуроры в пределах своих полномочий.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Физические лица вправе предъявлять в суд иски о возмещении вреда,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их жизни и здоровью, имуществу вследствие нарушения экологического законодательства, требования об отмене решений                                 о размещении, строительстве, реконструкции и вводе в эксплуатацию предприятий, сооружений и иных экологически опасных объектов, а также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об ограничении и прекращении хозяйственной и иной деятельности физических или юридических лиц, индивидуальных предпринимателей без образования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>юридического лица, оказывающей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отрицательное воздействие на окружающую среду, жизнь и здоровье человека (статья 13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Общественные объединения, в силу статьи 14 ЭК, имеют право требовать отмены в судебном порядке решений о размещении, строительстве, реконструкции и вводе в эксплуатацию предприятий, сооружений и иных экологически опасных объектов, об ограничении, приостановлении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>и прекращении хозяйственной и иной деятельности физических или юридических лиц, индивидуальных предпринимателей без образования юридического лица, оказывающей отрицательное воздействие на окружающую среду, жизнь и здоровье человека, предъявлять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в суд иски о возмещении вреда,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жизни, здоровью и (или) имуществу физических и (или) юридических лиц, индивидуальных предпринимателей без образования юридического лица, вследствие нарушения экологического законодательства, а также в защиту прав, свобод и законных интересов физических и (или) юридических лиц, индивидуальных предпринимателей без образования юридического лица, в том числе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неопределенного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круга лиц (</w:t>
      </w:r>
      <w:proofErr w:type="spellStart"/>
      <w:r w:rsidRPr="00662F56">
        <w:rPr>
          <w:rFonts w:ascii="Times New Roman" w:hAnsi="Times New Roman" w:cs="Times New Roman"/>
          <w:i/>
          <w:sz w:val="28"/>
          <w:szCs w:val="28"/>
        </w:rPr>
        <w:t>actio</w:t>
      </w:r>
      <w:proofErr w:type="spellEnd"/>
      <w:r w:rsidRPr="00662F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62F56">
        <w:rPr>
          <w:rFonts w:ascii="Times New Roman" w:hAnsi="Times New Roman" w:cs="Times New Roman"/>
          <w:i/>
          <w:sz w:val="28"/>
          <w:szCs w:val="28"/>
        </w:rPr>
        <w:t>popularis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>), по вопросам охраны окружающей среды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и использования природных ресурсов.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В соответствии с подпунктом 8-2) статьи 541 Кодекса Республики Казахстан «О налогах и других обязательных платежах в бюджет (Налоговый кодекс)» истцы (заявители) по искам (заявлениям) о защите прав, свобод </w:t>
      </w:r>
      <w:r w:rsidR="008513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законных интересов физических и (или) юридических лиц, индивидуальных предпринимателей без образования юридического лица, в том числе в интересах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неопределенного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круга лиц, по вопросам охраны окружающей среды и использования природных ресурсов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 освобождены от уплаты государственной пошлины при подаче иска в суд. </w:t>
      </w:r>
      <w:r w:rsidRPr="00662F56">
        <w:rPr>
          <w:rFonts w:ascii="Times New Roman" w:hAnsi="Times New Roman" w:cs="Times New Roman"/>
          <w:sz w:val="28"/>
          <w:szCs w:val="28"/>
        </w:rPr>
        <w:tab/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16. Физические и юридические лица вправе в судебном порядке оспорить заключение ГЭЭ (статья 57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). Отзыв заключения ГЭЭ не допускается, отмена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заключения осуществляется исключительно в судебном порядке (пункт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7 статьи 51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).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Перечень объектов, подлежащих обязательной ГЭЭ, установлен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47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. В силу статьи 51 ЭК осуществление деятельности без положительного заключения ГЭЭ является нарушением экологического законодательства.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Согласно пунктам 9 и 13 Правил проведения ГЭЭ,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утвержденных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приказом Министра энергетики Республики Казахстан от 16 февраля 2015 года № 100, материалы, представляемые на экспертизу, должны содержать в числе других документов и результаты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учета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общественного мнения. Учитываются заключения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>отраслевых экспертиз, осуществляемых иными государственными органами, а также заключения внешних экспертов, имеющие рекомендательный характер.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Разногласия при осуществлении ГЭЭ рассматриваются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переговоров либо в судебном порядке (статья 58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При разрешении таких споров судам следует руководствоваться экологическим законодательством, положениями Конвенции о доступе к информации, участию общественности в процессе принятия решений и доступе к правосудию по вопросам, касающимся окружающей среды (г.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Орхус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>, 25 июня 1998 года, ратифицирована Законом Республики Казахстан от 23 октября 2000 года № 92-II «О ратификации Конвенции о доступе к информации, участию общественности в процессе принятия решений и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доступе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к правосудию по вопросам, касающимся окружающей среды», далее -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Орхусская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конвенция).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Разъяснить судам, что для любых видов хозяйственной и иной деятельности, которые могут оказать прямое или косвенное воздействие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62F56">
        <w:rPr>
          <w:rFonts w:ascii="Times New Roman" w:hAnsi="Times New Roman" w:cs="Times New Roman"/>
          <w:sz w:val="28"/>
          <w:szCs w:val="28"/>
        </w:rPr>
        <w:t>на окружающую среду, жизнь и здоровье населения, установлена обязательность оценки воздействия на окружающую среду (далее - ОВОС), стадии и порядок проведения которой определены главой 6 ЭК. В соответствии со статьями 35 и 38 ЭК в рамках ОВОС оцениваются возможные последствия хозяйственной и иной деятельности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для окружающей среды, жизни и здоровья человека, разрабатываются меры по предотвращению неблагоприятных последствий (уничтожения, деградации, повреждения и истощения естественных экологических систем и природных ресурсов), оздоровлению окружающей среды с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требований экологического законодательства.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ОВОС осуществляется физическими и юридическими лицами, получившими лицензию на выполнение работ и оказание услуг в области охраны окружающей среды. Организацию и финансирование работ по ОВОС обеспечивает заказчик (инициатор) планируемой деятельности.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Согласно Правилам проведения общественных слушаний,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приказом Министра охраны окружающей среды Республики Казахстан 7 мая 2007 года № 135-п, общественные слушания по обсуждению материалов ОВОС проводятся в форме открытого собрания либо опроса. Заказчик (инициатор) намечаемой управленческой, хозяйственной и иной деятельности предварительно согласовывает с местными исполнительными органами время и место проведения общественных слушаний и публикует объявление в средствах массовой информации о проведении общественных слушаний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с указанием времени и места их проведения.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lastRenderedPageBreak/>
        <w:t>Публикация объявления должна осуществляться на государственном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и русском языках за 20 дней до даты проведения общественных слушаний.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57-2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по проектам, реализация которых может непосредственно повлиять на окружающую среду, жизнь и здоровье населения, и при производстве ГЭЭ обязательно проведение общественных слушаний, организация, порядок проведения и фиксация результатов которых отнесены к компетенции местных исполнительных органов (статья 20 ЭК).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В силу статьи 14 ЭК общественные объединения при осуществлении деятельности в области охраны окружающей среды вправе получать от государственных органов и организаций своевременную, полную и достоверную экологическую информацию,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>в соответствии со статьями 163, 164 и 165 ЭК. Предоставление экологической информации осуществляется в соответствии с Законом Республики Казахстан от 12 января 2007 года № 221-III «О порядке рассмотрения обращений физических и юридических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лиц» и со стандартом государственной услуги «Предоставление экологической информации»,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приказом Министра энергетики Республики Казахстан от </w:t>
      </w:r>
      <w:r w:rsidR="008513F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23 апреля 2015 года № 301 и регламентом государственной услуги «Предоставление экологической информации»,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приказом Министра энергетики Республики Казахстан от 22 мая 2015 года № 369.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Согласно статье 17 Закона Республики Казахстан от 15 марта 1999 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№ 349-I «О государственных секретах» сведения о состоянии экологии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662F56">
        <w:rPr>
          <w:rFonts w:ascii="Times New Roman" w:hAnsi="Times New Roman" w:cs="Times New Roman"/>
          <w:sz w:val="28"/>
          <w:szCs w:val="28"/>
        </w:rPr>
        <w:t>не подлежат засекречиванию.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Государственные органы по просьбе общественности о предоставлении экологической информации должны предоставлять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требований главы 21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, Закона Республики Казахстан от 16 ноября 2015 года № 401-V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>«О доступе к ин</w:t>
      </w:r>
      <w:r w:rsidR="001A3B08">
        <w:rPr>
          <w:rFonts w:ascii="Times New Roman" w:hAnsi="Times New Roman" w:cs="Times New Roman"/>
          <w:sz w:val="28"/>
          <w:szCs w:val="28"/>
        </w:rPr>
        <w:t xml:space="preserve">формации» и статьи 4 </w:t>
      </w:r>
      <w:proofErr w:type="spellStart"/>
      <w:r w:rsidR="001A3B08">
        <w:rPr>
          <w:rFonts w:ascii="Times New Roman" w:hAnsi="Times New Roman" w:cs="Times New Roman"/>
          <w:sz w:val="28"/>
          <w:szCs w:val="28"/>
        </w:rPr>
        <w:t>Орхусской</w:t>
      </w:r>
      <w:proofErr w:type="spellEnd"/>
      <w:r w:rsidR="001A3B08">
        <w:rPr>
          <w:rFonts w:ascii="Times New Roman" w:hAnsi="Times New Roman" w:cs="Times New Roman"/>
          <w:sz w:val="28"/>
          <w:szCs w:val="28"/>
        </w:rPr>
        <w:t xml:space="preserve"> к</w:t>
      </w:r>
      <w:r w:rsidRPr="00662F56">
        <w:rPr>
          <w:rFonts w:ascii="Times New Roman" w:hAnsi="Times New Roman" w:cs="Times New Roman"/>
          <w:sz w:val="28"/>
          <w:szCs w:val="28"/>
        </w:rPr>
        <w:t xml:space="preserve">онвенции. Заинтересованные лица вправе также получить соответствующую экологическую информацию из Государственного фонда экологической информации в соответствии с Правилами ведения Государственного фонда экологической информации,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утвержденными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13 октября 2016 года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62F56">
        <w:rPr>
          <w:rFonts w:ascii="Times New Roman" w:hAnsi="Times New Roman" w:cs="Times New Roman"/>
          <w:sz w:val="28"/>
          <w:szCs w:val="28"/>
        </w:rPr>
        <w:t>№ 589.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19. При рассмотрении данной категории дел судам необходимо иметь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в виду, что положения статьи 9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Орхусской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r w:rsidR="001A3B08">
        <w:rPr>
          <w:rFonts w:ascii="Times New Roman" w:hAnsi="Times New Roman" w:cs="Times New Roman"/>
          <w:sz w:val="28"/>
          <w:szCs w:val="28"/>
        </w:rPr>
        <w:t>к</w:t>
      </w:r>
      <w:r w:rsidRPr="00662F56">
        <w:rPr>
          <w:rFonts w:ascii="Times New Roman" w:hAnsi="Times New Roman" w:cs="Times New Roman"/>
          <w:sz w:val="28"/>
          <w:szCs w:val="28"/>
        </w:rPr>
        <w:t xml:space="preserve">онвенции применимы к спорам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о доступе представителей общественности (физических и (или) юридических лиц)  по поводу: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нарушений права общественности на доступ к экологической информации;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lastRenderedPageBreak/>
        <w:t>нарушений права на участие общественности в процессе принятия решений по планируемой хозяйственной деятельности (в рамках процедур ОВОС и ГЭЭ);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обжалования решений, действий (бездействия) государственных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негосударственных органов, организаций, физических лиц, связанных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662F56">
        <w:rPr>
          <w:rFonts w:ascii="Times New Roman" w:hAnsi="Times New Roman" w:cs="Times New Roman"/>
          <w:sz w:val="28"/>
          <w:szCs w:val="28"/>
        </w:rPr>
        <w:t>с нарушением экологического законодательства.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20. В силу требований статей 126, 1017 ГК (о служебной и коммерческой тайне, нераскрытой информации) заявителю может быть отказано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 в предоставлении сведений o мощности установки, сырьевой базе, количестве рабочих смен, финансировании природоохранных мероприятий и других данных. Отказ в получении экологической информации относительно сведений и данных с ограниченным доступом может быть основан также на следующих законодательных актах: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Уголовно-процессуальном кодексе Республики Казахстан (тайна оперативно-розыскной деятельности, дознания и предварительного следствия), законах Республики Казахстан от 19 марта 2010 года № 257-IV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«О государственной статистике» (гарантии физическим и юридическим лицам конфиденциальности первичной статистической информации), от 24 ноября </w:t>
      </w:r>
      <w:r w:rsidR="008513F1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>2015 года № 418-V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>«Об информатизации» (нарушение неприкосновенности частной жизни).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288 ЭК физические  и (или) юридические лица, индивидуальные предприниматели без образования юридического лица,              деятельность которых связана с образованием отходов производства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         и потребления, несут ответственность как собственники за безопасное обращение с отходами с момента их образования, если иное не предусмотрено законодательством или договором, определяющим условия обращения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    с отходами.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Они обязаны соблюдать экологические и санитарно-эпидемиологические требования и выполнять мероприятия по хранению, утилизации, обезвреживанию, размещению или безопасному удалению отходов      в места хранения. Сроки безопасного хранения отходов до их восстановления или переработки либо захоронения определены пунктом 3 статьи 288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Понятие временного размещения отходов дано в подпункте 30-1) статьи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62F56">
        <w:rPr>
          <w:rFonts w:ascii="Times New Roman" w:hAnsi="Times New Roman" w:cs="Times New Roman"/>
          <w:sz w:val="28"/>
          <w:szCs w:val="28"/>
        </w:rPr>
        <w:t>1 ЭК. Суды должны иметь в виду, что согласно пункту 3-1 статьи 288 ЭК  временное размещение отходов не является размещением отходов.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Нарушение сроков хранения таких отходов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влечет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признание их </w:t>
      </w:r>
      <w:proofErr w:type="spellStart"/>
      <w:proofErr w:type="gramStart"/>
      <w:r w:rsidRPr="00662F56">
        <w:rPr>
          <w:rFonts w:ascii="Times New Roman" w:hAnsi="Times New Roman" w:cs="Times New Roman"/>
          <w:sz w:val="28"/>
          <w:szCs w:val="28"/>
        </w:rPr>
        <w:t>размещенными</w:t>
      </w:r>
      <w:proofErr w:type="spellEnd"/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с момента образования.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Экологическим законодательством на собственников отходов возлагается обязанность по пользованию централизованной системой сбора отходов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или услугами субъектов, отвечающих квалификационным требованиям,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>выполняющих операции по сбору, утилизации, переработке, хранению, размещению или удалению отходов, либо самостоятельному осуществлению операций по размещению или удалению отходов. Передача отходов собственником таким субъектам означает одновременно переход к ним права собственности на отходы, если сторонами не заключено соглашение на иных условиях.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Физические и (или) юридические лица, индивидуальные предприниматели без образования юридического лица, выполняющие операции по сбору, утилизации, переработке, хранению, размещению или удалению отходов и осуществляющие транспортировку отходов, принимаемых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   от сторонних организаций, несут ответственность за безопасное обращение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с ними с момента передачи их собственником отходов - погрузки отходов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на принадлежащее им транспортное средство 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приемки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их физическим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или юридическим лицом,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индивидуальным предпринимателем без</w:t>
      </w:r>
      <w:proofErr w:type="gramEnd"/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 юридического лица,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до выгрузки отходов в установленном месте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     из транспортного средства, если иное не предусмотрено законодательством     или соглашением.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случаях передачи отходов производства и потребления организациям, не имеющим в совокупности прав на выполнение операций по сбору, утилизации, переработке, хранению, размещению или удалению отходов, обязанность по уплате платы за эмиссию в окружающую среду возлагается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на лиц, в результате деятельности которых образуются такие отходы.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Ответственность собственников отходов производства и потребления,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а равно субъектов, выполняющих операции по сбору, транспортировке, утилизации, переработке, хранению, размещению или удалению отходов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 в каждом конкретном случае определяется в зависимости от вида и степени опасности отходов в порядке, установленном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Судам надлежит иметь в виду, что по смыслу статьи 297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на объем 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размер ответственности влияет выполнение субъектами хозяйственной деятельности экологических мероприятий, в том числе финансовых, направленных на утилизацию отходов и уменьшение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объемов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 их образования.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23. В соответствии со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101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плата за эмиссии в окружающую среду, в том числе за размещение отходов производства и потребления,  устанавливается и взимается по правилам, установленным главой 71 Налогового кодекса за эмиссии в окружающую среду в порядке специального природопользования.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Эмиссии в окружающую среду без оформленного в установленном порядке экологического разрешения рассматриваются как эмиссии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Pr="00662F56">
        <w:rPr>
          <w:rFonts w:ascii="Times New Roman" w:hAnsi="Times New Roman" w:cs="Times New Roman"/>
          <w:sz w:val="28"/>
          <w:szCs w:val="28"/>
        </w:rPr>
        <w:t>в окружающую среду сверх установленных нормативов, за исключением выбросов загрязняющих веществ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>от передвижных источников.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Исполнение налоговых обязательств по оплате эмиссии в окружающую среду, в том числе эмиссии сверх установленных нормативов, не освобождает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от возмещения ущерба,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 (пункт 5 статьи 101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24. При определении экономической оценки ущерба,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среде, суды в соответствии с пунктом 1 статьи 108 ЭК должны исходить из стоимости затрат по восстановлению окружающей среды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и потребительских свой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иродных ресурсов.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Экономическая оценка ущерба от загрязнения атмосферного воздуха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водных, земельных ресурсов, а также от размещения отходов производства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потребления определяется прямым или косвенным методами в соответствии со статьями 108, 109 и 110 ЭК, Правилами экономической оценки ущерба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от загрязнения окружающей среды,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утвержденными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Казахстан от 27 июня 2007 года № 535                           (далее - Правила оценки ущерба) и другими правовыми актами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, в зависимости от того, возможна ли полная ликвидация последствий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ущерба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мероприятий по восстановлению окружающей среды (пункт 3 статьи 108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При оценке стоимости ущерба,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и здоровью населения, имуществу физических и (или) юридических лиц, индивидуальных предпринимателей без образования юридического лица, государств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62F56">
        <w:rPr>
          <w:rFonts w:ascii="Times New Roman" w:hAnsi="Times New Roman" w:cs="Times New Roman"/>
          <w:sz w:val="28"/>
          <w:szCs w:val="28"/>
        </w:rPr>
        <w:t xml:space="preserve">, а также для проверки представленных сторонами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 суды должны применять нормативы и таксы, установленные Правилами оценки ущерба в отношении каждого конкретного объекта окружающей среды.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В случае, если порядок исчисления ущерба не регулируется специальным нормативным правовым актом, его размер определяется по фактическим затратам на восстановление нарушенного состояния окружающей среды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с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понесенных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убытков, в том числе упущенной выгоды. 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частности, экономическая оценка ущерба от самовольной добычи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общераспространенных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полезных ископаемых (песок, гравий, глина и другие, далее - ОПИ) определяется в десятикратном размере стоимости добытых полезных ископаемых и (или)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произведенного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товарного продукта, полученного из них.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В случае возникновения сомнений в правильности представленных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расчетов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либо при наличии возражений одной из сторон суд с целью проверки и устранения противоречий вправе, в соответствии со статьями 77 и 82 Гражданского процессуального кодекса Республики Казахстан (далее - ГПК), привлечь специалиста или назначить соответствующую судебную экспертизу.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оценки ущерба,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без надлежащего разрешения, должен производиться отдельно по каждому источнику загрязнения с применением соответствующего коэффициента Правил оценки ущерба.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соответствии с Правилами оценки ущерба результаты инструментальных замеров и анализов, свидетельствующие о превышении установленных нормативов выбросов (сбросов) загрязняющих веществ, распространяются на период с последней проверки,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проведенной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 ходе государственного экологического контроля, до истечения срока исковой давности.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Следует иметь в виду, что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оценки ущерба не подлежит отдельному обжалованию в порядке гражданского судопроизводства, поскольку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расчет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является доказательством, подлежащим оценке в совокупности с другими доказательствами по делу в порядке, предусмотренном главой 7 ГПК.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25. Прямой метод экономической оценки ущерба определяется с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фактических затрат и наиболее эффективных инженерных,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организационно-технических и технологических мероприятий, необходимых                                             для восстановления окружающей среды, восполнения деградировавших природных ресурсов и оздоровления живых организмов.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Сбор и анализ необходимых материалов, установление экономической оценки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ущерба проводятся должностными лицами уполномоченного органа в области охраны окружающей среды в месячный срок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с даты установления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факта нанесения ущерба. Лицо,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нанесшее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ущерб окружающей среде, обязано предоставить гарантийное письмо с указанием конкретных мероприятий по восстановлению окружающей среды и сроков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их проведения. Оценка мер по ликвидации последствий ущерба определяется по их рыночной стоимости или с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заключения независимого эксперта, уполномоченного проводить экспертизы  в области охраны окружающей  среды.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По смыслу статьи 110 ЭК и пункта 4 Правил оценки ущерба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при определении возможности осуществить полную ликвидацию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ущерба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мероприятий по восстановлению окружающей среды суды должны принимать во внимание только прямой метод экономической оценки ущерба с целью немедленного принятия мер по устранению последствий загрязнения и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>обязательных превентивных мер по предотвращению загрязнения окружающей среды и нанесения ей ущерба в любых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иных формах.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Судам на стадии подготовки дела к судебному разбирательству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по спорам о применении экологического законодательства, где экономическая оценка ущерба,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среде, определяется прямым методом, необходимо разъяснять сторонам положения статьи 322 ЭК, в силу которых,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с согласия сторон, по решению суда вред может быть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возмещен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добровольно,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в натуральной форме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возложения на ответчика обязанности по устранению ущерба</w:t>
      </w:r>
      <w:r w:rsidR="001A3B08">
        <w:rPr>
          <w:rFonts w:ascii="Times New Roman" w:hAnsi="Times New Roman" w:cs="Times New Roman"/>
          <w:sz w:val="28"/>
          <w:szCs w:val="28"/>
        </w:rPr>
        <w:t>,</w:t>
      </w:r>
      <w:r w:rsidRPr="00662F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Косвенный метод экономической оценки ущерба применяется в случаях, когда не может быть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применен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прямой метод экономической оценки ущерба: загрязнения атмосферного воздуха, водных ресурсов, а также размещения отходов производства и потребления, в том числе радиоактивных, сверхустановленных нормативов и сверхнормативного изъятия природных ресурсов. Так, попадание сточных вод с вредными веществами в реку предполагает применение косвенного метода оценки ущерба,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окружающей среде, а попадание таких вод на прилегающую к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водоему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местность -  прямого метода.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Экономическая оценка ущерба косвенным методом определяется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пунктом 2 статьи 110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, и основывается на разнице между фактическим воздействием на окружающую среду и установленным нормативом, а также на ставках платы за эмиссии в окружающую среду, уровнях экологической опасности и экологического риска.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26. Обратить внимание судов на необходимость разграничения ответственности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за уклонение от уплаты обязательных экологических платежей, от ответственности за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ущерб окружающей среде.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>Лицо, причинившее вред жизни и здоровью физических лиц, ущерб имуществу физических и (или) юридических лиц, индивидуальных предпринимателей без образования юридического лица, государств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662F56">
        <w:rPr>
          <w:rFonts w:ascii="Times New Roman" w:hAnsi="Times New Roman" w:cs="Times New Roman"/>
          <w:sz w:val="28"/>
          <w:szCs w:val="28"/>
        </w:rPr>
        <w:t xml:space="preserve"> либо окружающей среде вправе добровольно или по решению суда устранить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нанесенные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вред или ущерб либо компенсировать их в стоимостном выражении за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собственных или страховых средств до состояния, имевшегося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к моменту причинения вреда или ущерба, выполнить мероприятия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по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воспроизводству природных ресурсов, по возмещению истцу убытков, включая упущенную выгоду, либо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перечисления денежных сре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662F56">
        <w:rPr>
          <w:rFonts w:ascii="Times New Roman" w:hAnsi="Times New Roman" w:cs="Times New Roman"/>
          <w:sz w:val="28"/>
          <w:szCs w:val="28"/>
        </w:rPr>
        <w:t>в г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осударственный бюджет или непосредственно потерпевшему лицу. Вред,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lastRenderedPageBreak/>
        <w:t>причиненный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жизни и здоровью физического лица, возмещается в полном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учетом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степени потери трудоспособности потерпевшего, затрат на его лечение и восстановление здоровья, затрат по уходу за больным, иных расходов и потерь. Так, пунктом 1 статьи 21 Закона о радиационной безопасности предусмотрено право граждан на возмещение вреда,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их жизни и здоровью, и на возмещение имущественных убытков, обусловленных облучением, ионизирующим излучением сверх установленных пределов или в результате радиационной аварии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>в соответствии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с законодательством.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Если лицо, виновное в причинении ущерба окружающей среде,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 не в состоянии исполнить судебный акт по восстановлению  в натуральной форме природной среды до состояния, имевшегося к моменту причинения вреда, предоставлению равноценного природного ресурса взамен уничтоженного либо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поврежденного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>, либо компенсировать его в денежной форме, то суд, вынесший решение, или суд по месту исполнения решения может в порядке статьи  246 ГПК по ходатайству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государственного судебного исполнителя по исполнительным производствам, по которым взыскателем является государство, и (или) по заявлению сторон в исполнительном производстве изменить способ и порядок его исполнения.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Разъяснить судам, что дела об обжаловании решений, действий (бездействия) должностных лиц уполномоченного органа в области охраны окружающей среды, специально уполномоченных органов в области охраны окружающей среды, охраны, воспроизводства и использования природных ресурсов, а также местных представительных и (или) исполнительных органов, органов местного самоуправления по вопросам, связанным с экологическим законодательством, в том числе в защиту интересов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неопределенного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круга лиц, государственными органами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компетенции, юридическими лицами, а также индивидуальными предпринимателями без образования юридического лица,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прокурором - в случаях, предусмотренных частью второй статьи 292 ГПК, подсудны специализированным межрайонным экономическим судам, за исключением дел, предусмотренных частью четвертой статьи 27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подпунктом 2) статьи 28 ГПК.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Если по результатам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проведенного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контроля протокол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>об административном правонарушении не составлялся, обжалованию в порядке главы 29 ГПК подлежит предписание об устранении нарушений экологического законодательства.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126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требование об обязательном соблюдении порядка досудебного урегулирования вопросов, связанных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>с обжалованием решения, действий (бездействия) должностных лиц, распространяется только на решения, действия (бездействие) должностных лиц, осуществляющих государственный экологический контроль.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Если истцом (заявителем в порядке главы 29 ГПК) не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соблюден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установленный законом для данной категории дел порядок досудебного урегулирования спора и возможность применения этого порядка не утрачена, то в соответствии с подпунктом 1) части первой статьи 152 ГПК судья возвращает исковое заявление истцу.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В случае принятия такового искового заявления оно подлежит оставлению без рассмотрения на основании подпункта 1) статьи 279 ГПК.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Разъяснить судам, что экологическим спором является спор по поводу оценки принятых и осуществляемых решений мероприятий, связанных с охраной окружающей среды, в процессе хозяйственной, управленческой и иной деятельности, в том числе размещения объектов, заключений государственной экологической экспертизы, приостановления, ограничения или прекращения деятельности предприятий, размера платы за эмиссии в окружающую среду,</w:t>
      </w:r>
      <w:r w:rsidRPr="00662F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о возмещении вреда,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причиненного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здоровью человека, окружающей среде в результате нарушения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экологического законодательства.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Согласно нормам главы 46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экологические споры между субъектами экологических правоотношений могут быть решены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переговоров,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в том числе с привлечением экспертов либо в соответствии с ранее согласованной сторонами процедурой разрешения споров</w:t>
      </w:r>
      <w:r w:rsidRPr="00662F56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62F56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переговоров могут быть разрешены споры, связанные с исполнением, изменением или прекращением контракта в сфере недропользования (статья 128 Закона о недрах). Согласованная сторонами процедура разрешения споров означает возможность разрешения спора в соответствии с условиями договора, законодательными актами либо международным договором.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При разрешении споров с участием юридических и физических лиц, осуществляющих предпринимательскую деятельность без образования юридического лица, суды должны истребовать от истца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доказательства соблюдения досудебного порядка урегулирования спора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В мотивировочной части решения судам следует делать ссылки на нормы действующего законодательства с указанием конкретной обязанности, возложенной на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природопользователя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соответствующими нормами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>, неисполнение которой явилось основанием для признания правонарушением.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>Разъяснить судам, что при удовлетворении исков о возмещении ущерба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в резолютивной части решения необходимо указывать на взыскание суммы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ущерба в доход государства, реквизиты налогового управления по месту нахождения источника эмиссии либо на взыскание суммы ущерба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>в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республиканский бюджет, за исключением средств, полученных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природопользователей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по искам о возмещении вреда организациями нефтяного сектора, подлежащих зачислению в Национальный фонд Республики Казахстан.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>При рассмотрении исковых требований физических лиц и (или) общественных объединений о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662F56">
        <w:rPr>
          <w:rFonts w:ascii="Times New Roman" w:hAnsi="Times New Roman" w:cs="Times New Roman"/>
          <w:sz w:val="28"/>
          <w:szCs w:val="28"/>
        </w:rPr>
        <w:t xml:space="preserve"> ограничении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62F56">
        <w:rPr>
          <w:rFonts w:ascii="Times New Roman" w:hAnsi="Times New Roman" w:cs="Times New Roman"/>
          <w:sz w:val="28"/>
          <w:szCs w:val="28"/>
        </w:rPr>
        <w:t xml:space="preserve"> приостановлении и прекращении хозяйственной и иной деятельности физических и (или) юридических лиц, индивидуальных предпринимателей без образования юридического лица, оказывающей отрицательное воздействие на окружающую среду, жизнь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и здоровье человека, основанием для удовлетворения таких требований является, прежде всего, установление факта отрицательного воздействия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на окружающую среду, жизнь и здоровье человека. 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Принимая решение об удовлетворении исковых требований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  <w:r w:rsidRPr="00662F56">
        <w:rPr>
          <w:rFonts w:ascii="Times New Roman" w:hAnsi="Times New Roman" w:cs="Times New Roman"/>
          <w:sz w:val="28"/>
          <w:szCs w:val="28"/>
        </w:rPr>
        <w:t>о приостановлении, ограничении или прекращении экологически вредной деятельности, суды должны иметь в виду, что приостановление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62F56">
        <w:rPr>
          <w:rFonts w:ascii="Times New Roman" w:hAnsi="Times New Roman" w:cs="Times New Roman"/>
          <w:sz w:val="28"/>
          <w:szCs w:val="28"/>
        </w:rPr>
        <w:t xml:space="preserve">ограничение либо прекращение отрицательного воздействия возможно не только 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в результате закрытия объекта, но и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возложения на ответчика обязанности совершить действия, направленные на устранение источника вредного влияния: проведение ремонта, реконструкции, установку новых очистных сооружений, внедрение новых технологий производства, изменение</w:t>
      </w:r>
      <w:proofErr w:type="gramEnd"/>
      <w:r w:rsidRPr="00662F56">
        <w:rPr>
          <w:rFonts w:ascii="Times New Roman" w:hAnsi="Times New Roman" w:cs="Times New Roman"/>
          <w:sz w:val="28"/>
          <w:szCs w:val="28"/>
        </w:rPr>
        <w:t xml:space="preserve"> условий природопользования и тому подобное, с обязательным указанием срока, в течение которого ответчик обязан устранить нарушения требований экологического законодательства.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30. </w:t>
      </w:r>
      <w:proofErr w:type="gramStart"/>
      <w:r w:rsidRPr="00662F56">
        <w:rPr>
          <w:rFonts w:ascii="Times New Roman" w:hAnsi="Times New Roman" w:cs="Times New Roman"/>
          <w:sz w:val="28"/>
          <w:szCs w:val="28"/>
        </w:rPr>
        <w:t xml:space="preserve">Суд не принимает отказ истца от иска, если имеющиеся в деле доказательства свидетельствуют о наличии оснований и условий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        для привлечения ответчика к имущественной ответственности за совершение экологического правонарушения, за исключением случаев, когда нарушитель в добровольном порядке возместил вред в полном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объеме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и по делам, связанным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2F56">
        <w:rPr>
          <w:rFonts w:ascii="Times New Roman" w:hAnsi="Times New Roman" w:cs="Times New Roman"/>
          <w:sz w:val="28"/>
          <w:szCs w:val="28"/>
        </w:rPr>
        <w:t xml:space="preserve">с принудительным взиманием платежей за использование объектов окружающей среды. </w:t>
      </w:r>
      <w:proofErr w:type="gramEnd"/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Обратить внимание судов на то, что действующее экологическое законодательство не предусматривает возможности снижения размера платежей, подлежащих уплате за использование объекта окружающей среды.  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Споры, рассматриваемые в порядке особого искового производства</w:t>
      </w:r>
      <w:r w:rsidRPr="00662F5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662F56">
        <w:rPr>
          <w:rFonts w:ascii="Times New Roman" w:hAnsi="Times New Roman" w:cs="Times New Roman"/>
          <w:sz w:val="28"/>
          <w:szCs w:val="28"/>
        </w:rPr>
        <w:t xml:space="preserve"> по правилам главы 29 ГПК, не подлежат прекращению в связи с заключением </w:t>
      </w:r>
      <w:r w:rsidRPr="00662F56">
        <w:rPr>
          <w:rFonts w:ascii="Times New Roman" w:hAnsi="Times New Roman" w:cs="Times New Roman"/>
          <w:sz w:val="28"/>
          <w:szCs w:val="28"/>
        </w:rPr>
        <w:lastRenderedPageBreak/>
        <w:t xml:space="preserve">сторонами мирового соглашения или соглашений сторон об урегулировании спора (конфликта) в порядке медиации либо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партисипативной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процедуры.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 xml:space="preserve">31. Суды должны тщательно исследовать обстоятельства, способствующие нарушению экологического законодательства, и выносить частные определения в порядке, предусмотренном </w:t>
      </w:r>
      <w:proofErr w:type="spellStart"/>
      <w:r w:rsidRPr="00662F56">
        <w:rPr>
          <w:rFonts w:ascii="Times New Roman" w:hAnsi="Times New Roman" w:cs="Times New Roman"/>
          <w:sz w:val="28"/>
          <w:szCs w:val="28"/>
        </w:rPr>
        <w:t>статьей</w:t>
      </w:r>
      <w:proofErr w:type="spellEnd"/>
      <w:r w:rsidRPr="00662F56">
        <w:rPr>
          <w:rFonts w:ascii="Times New Roman" w:hAnsi="Times New Roman" w:cs="Times New Roman"/>
          <w:sz w:val="28"/>
          <w:szCs w:val="28"/>
        </w:rPr>
        <w:t xml:space="preserve"> 270 ГПК.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32. В связи с принятием настоящего нормативного постановления признать утратившим силу нормативное постановление Верховного Суда Республики Казахстан от 22 декабря 2000 года № 16 «О практике применения судами законодательства об охране окружающей среды».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56">
        <w:rPr>
          <w:rFonts w:ascii="Times New Roman" w:hAnsi="Times New Roman" w:cs="Times New Roman"/>
          <w:sz w:val="28"/>
          <w:szCs w:val="28"/>
        </w:rPr>
        <w:t>33. 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F56" w:rsidRPr="00662F56" w:rsidRDefault="00662F56" w:rsidP="0066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F56" w:rsidRPr="00662F56" w:rsidRDefault="00662F56" w:rsidP="00662F56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56">
        <w:rPr>
          <w:rFonts w:ascii="Times New Roman" w:hAnsi="Times New Roman" w:cs="Times New Roman"/>
          <w:b/>
          <w:sz w:val="28"/>
          <w:szCs w:val="28"/>
        </w:rPr>
        <w:t>Председатель Верховного Суда</w:t>
      </w:r>
    </w:p>
    <w:p w:rsidR="00662F56" w:rsidRPr="00662F56" w:rsidRDefault="00662F56" w:rsidP="00662F56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56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                                                          </w:t>
      </w:r>
      <w:r w:rsidRPr="00662F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proofErr w:type="spellStart"/>
      <w:r w:rsidRPr="00662F56">
        <w:rPr>
          <w:rFonts w:ascii="Times New Roman" w:hAnsi="Times New Roman" w:cs="Times New Roman"/>
          <w:b/>
          <w:sz w:val="28"/>
          <w:szCs w:val="28"/>
        </w:rPr>
        <w:t>К.Мами</w:t>
      </w:r>
      <w:proofErr w:type="spellEnd"/>
    </w:p>
    <w:p w:rsidR="00662F56" w:rsidRDefault="00662F56" w:rsidP="00662F56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F56" w:rsidRPr="00662F56" w:rsidRDefault="00662F56" w:rsidP="00662F56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2F56" w:rsidRPr="00662F56" w:rsidRDefault="00662F56" w:rsidP="00662F56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56">
        <w:rPr>
          <w:rFonts w:ascii="Times New Roman" w:hAnsi="Times New Roman" w:cs="Times New Roman"/>
          <w:b/>
          <w:sz w:val="28"/>
          <w:szCs w:val="28"/>
        </w:rPr>
        <w:t>Судья Верховного Суда</w:t>
      </w:r>
    </w:p>
    <w:p w:rsidR="00662F56" w:rsidRPr="00662F56" w:rsidRDefault="00662F56" w:rsidP="00662F56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56">
        <w:rPr>
          <w:rFonts w:ascii="Times New Roman" w:hAnsi="Times New Roman" w:cs="Times New Roman"/>
          <w:b/>
          <w:sz w:val="28"/>
          <w:szCs w:val="28"/>
        </w:rPr>
        <w:t>Республики Казахстан,</w:t>
      </w:r>
    </w:p>
    <w:p w:rsidR="00662F56" w:rsidRPr="00662F56" w:rsidRDefault="00662F56" w:rsidP="00662F56">
      <w:pPr>
        <w:spacing w:after="0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F56">
        <w:rPr>
          <w:rFonts w:ascii="Times New Roman" w:hAnsi="Times New Roman" w:cs="Times New Roman"/>
          <w:b/>
          <w:sz w:val="28"/>
          <w:szCs w:val="28"/>
        </w:rPr>
        <w:t xml:space="preserve">секретарь пленарного заседания                           </w:t>
      </w:r>
      <w:r w:rsidRPr="00662F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662F56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proofErr w:type="spellStart"/>
      <w:r w:rsidRPr="00662F56">
        <w:rPr>
          <w:rFonts w:ascii="Times New Roman" w:hAnsi="Times New Roman" w:cs="Times New Roman"/>
          <w:b/>
          <w:sz w:val="28"/>
          <w:szCs w:val="28"/>
        </w:rPr>
        <w:t>К.Шаухаров</w:t>
      </w:r>
      <w:proofErr w:type="spellEnd"/>
    </w:p>
    <w:sectPr w:rsidR="00662F56" w:rsidRPr="00662F56" w:rsidSect="00662F56">
      <w:footerReference w:type="default" r:id="rId9"/>
      <w:footerReference w:type="first" r:id="rId10"/>
      <w:pgSz w:w="11906" w:h="16838"/>
      <w:pgMar w:top="1418" w:right="851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A1" w:rsidRDefault="008148A1" w:rsidP="00462407">
      <w:pPr>
        <w:spacing w:after="0" w:line="240" w:lineRule="auto"/>
      </w:pPr>
      <w:r>
        <w:separator/>
      </w:r>
    </w:p>
  </w:endnote>
  <w:endnote w:type="continuationSeparator" w:id="0">
    <w:p w:rsidR="008148A1" w:rsidRDefault="008148A1" w:rsidP="004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9106530"/>
      <w:docPartObj>
        <w:docPartGallery w:val="Page Numbers (Bottom of Page)"/>
        <w:docPartUnique/>
      </w:docPartObj>
    </w:sdtPr>
    <w:sdtEndPr/>
    <w:sdtContent>
      <w:p w:rsidR="00914406" w:rsidRDefault="0091440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0C">
          <w:rPr>
            <w:noProof/>
          </w:rPr>
          <w:t>7</w:t>
        </w:r>
        <w:r>
          <w:fldChar w:fldCharType="end"/>
        </w:r>
      </w:p>
    </w:sdtContent>
  </w:sdt>
  <w:p w:rsidR="00462407" w:rsidRDefault="0046240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415" w:rsidRDefault="00A96415">
    <w:pPr>
      <w:pStyle w:val="a8"/>
      <w:jc w:val="right"/>
    </w:pPr>
  </w:p>
  <w:p w:rsidR="00A96415" w:rsidRDefault="00A964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A1" w:rsidRDefault="008148A1" w:rsidP="00462407">
      <w:pPr>
        <w:spacing w:after="0" w:line="240" w:lineRule="auto"/>
      </w:pPr>
      <w:r>
        <w:separator/>
      </w:r>
    </w:p>
  </w:footnote>
  <w:footnote w:type="continuationSeparator" w:id="0">
    <w:p w:rsidR="008148A1" w:rsidRDefault="008148A1" w:rsidP="0046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F4DA82"/>
    <w:lvl w:ilvl="0">
      <w:numFmt w:val="bullet"/>
      <w:lvlText w:val="*"/>
      <w:lvlJc w:val="left"/>
    </w:lvl>
  </w:abstractNum>
  <w:abstractNum w:abstractNumId="1">
    <w:nsid w:val="01316A89"/>
    <w:multiLevelType w:val="hybridMultilevel"/>
    <w:tmpl w:val="35AA45D2"/>
    <w:lvl w:ilvl="0" w:tplc="D33051DE">
      <w:start w:val="1"/>
      <w:numFmt w:val="decimal"/>
      <w:lvlText w:val="%1.)"/>
      <w:lvlJc w:val="left"/>
      <w:pPr>
        <w:ind w:left="418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0" w:hanging="360"/>
      </w:pPr>
    </w:lvl>
    <w:lvl w:ilvl="2" w:tplc="0419001B" w:tentative="1">
      <w:start w:val="1"/>
      <w:numFmt w:val="lowerRoman"/>
      <w:lvlText w:val="%3."/>
      <w:lvlJc w:val="right"/>
      <w:pPr>
        <w:ind w:left="5490" w:hanging="180"/>
      </w:pPr>
    </w:lvl>
    <w:lvl w:ilvl="3" w:tplc="0419000F" w:tentative="1">
      <w:start w:val="1"/>
      <w:numFmt w:val="decimal"/>
      <w:lvlText w:val="%4."/>
      <w:lvlJc w:val="left"/>
      <w:pPr>
        <w:ind w:left="6210" w:hanging="360"/>
      </w:pPr>
    </w:lvl>
    <w:lvl w:ilvl="4" w:tplc="04190019" w:tentative="1">
      <w:start w:val="1"/>
      <w:numFmt w:val="lowerLetter"/>
      <w:lvlText w:val="%5."/>
      <w:lvlJc w:val="left"/>
      <w:pPr>
        <w:ind w:left="6930" w:hanging="360"/>
      </w:pPr>
    </w:lvl>
    <w:lvl w:ilvl="5" w:tplc="0419001B" w:tentative="1">
      <w:start w:val="1"/>
      <w:numFmt w:val="lowerRoman"/>
      <w:lvlText w:val="%6."/>
      <w:lvlJc w:val="right"/>
      <w:pPr>
        <w:ind w:left="7650" w:hanging="180"/>
      </w:pPr>
    </w:lvl>
    <w:lvl w:ilvl="6" w:tplc="0419000F" w:tentative="1">
      <w:start w:val="1"/>
      <w:numFmt w:val="decimal"/>
      <w:lvlText w:val="%7."/>
      <w:lvlJc w:val="left"/>
      <w:pPr>
        <w:ind w:left="8370" w:hanging="360"/>
      </w:pPr>
    </w:lvl>
    <w:lvl w:ilvl="7" w:tplc="04190019" w:tentative="1">
      <w:start w:val="1"/>
      <w:numFmt w:val="lowerLetter"/>
      <w:lvlText w:val="%8."/>
      <w:lvlJc w:val="left"/>
      <w:pPr>
        <w:ind w:left="9090" w:hanging="360"/>
      </w:pPr>
    </w:lvl>
    <w:lvl w:ilvl="8" w:tplc="0419001B" w:tentative="1">
      <w:start w:val="1"/>
      <w:numFmt w:val="lowerRoman"/>
      <w:lvlText w:val="%9."/>
      <w:lvlJc w:val="right"/>
      <w:pPr>
        <w:ind w:left="9810" w:hanging="180"/>
      </w:pPr>
    </w:lvl>
  </w:abstractNum>
  <w:abstractNum w:abstractNumId="2">
    <w:nsid w:val="0DBE63DE"/>
    <w:multiLevelType w:val="hybridMultilevel"/>
    <w:tmpl w:val="70D06E1A"/>
    <w:lvl w:ilvl="0" w:tplc="4A446C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5D2567"/>
    <w:multiLevelType w:val="singleLevel"/>
    <w:tmpl w:val="22A46216"/>
    <w:lvl w:ilvl="0">
      <w:start w:val="2"/>
      <w:numFmt w:val="decimal"/>
      <w:lvlText w:val="%1)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4">
    <w:nsid w:val="38DC054A"/>
    <w:multiLevelType w:val="singleLevel"/>
    <w:tmpl w:val="242E73E4"/>
    <w:lvl w:ilvl="0">
      <w:start w:val="6"/>
      <w:numFmt w:val="decimal"/>
      <w:lvlText w:val="%1)"/>
      <w:legacy w:legacy="1" w:legacySpace="0" w:legacyIndent="316"/>
      <w:lvlJc w:val="left"/>
      <w:rPr>
        <w:rFonts w:ascii="Arial" w:hAnsi="Arial" w:cs="Arial" w:hint="default"/>
      </w:rPr>
    </w:lvl>
  </w:abstractNum>
  <w:abstractNum w:abstractNumId="5">
    <w:nsid w:val="44386A24"/>
    <w:multiLevelType w:val="multilevel"/>
    <w:tmpl w:val="70D06E1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002AD5"/>
    <w:multiLevelType w:val="hybridMultilevel"/>
    <w:tmpl w:val="9260DCD0"/>
    <w:lvl w:ilvl="0" w:tplc="93BE62BE">
      <w:start w:val="4"/>
      <w:numFmt w:val="decimal"/>
      <w:lvlText w:val="%1.)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7">
    <w:nsid w:val="5CB30FB8"/>
    <w:multiLevelType w:val="hybridMultilevel"/>
    <w:tmpl w:val="D9787666"/>
    <w:lvl w:ilvl="0" w:tplc="09E4BF56">
      <w:start w:val="1"/>
      <w:numFmt w:val="decimal"/>
      <w:lvlText w:val="%1)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9A03A23"/>
    <w:multiLevelType w:val="hybridMultilevel"/>
    <w:tmpl w:val="8C1A5EE0"/>
    <w:lvl w:ilvl="0" w:tplc="F6CEF2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3"/>
    <w:lvlOverride w:ilvl="0">
      <w:startOverride w:val="2"/>
    </w:lvlOverride>
  </w:num>
  <w:num w:numId="3">
    <w:abstractNumId w:val="4"/>
    <w:lvlOverride w:ilvl="0">
      <w:startOverride w:val="6"/>
    </w:lvlOverride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F7"/>
    <w:rsid w:val="000032A7"/>
    <w:rsid w:val="000C01E0"/>
    <w:rsid w:val="001066F3"/>
    <w:rsid w:val="001A253C"/>
    <w:rsid w:val="001A3B08"/>
    <w:rsid w:val="001B017D"/>
    <w:rsid w:val="00215118"/>
    <w:rsid w:val="0027230C"/>
    <w:rsid w:val="002805EB"/>
    <w:rsid w:val="0032588A"/>
    <w:rsid w:val="003330F7"/>
    <w:rsid w:val="00352416"/>
    <w:rsid w:val="00367C2E"/>
    <w:rsid w:val="003E6FE9"/>
    <w:rsid w:val="00415C18"/>
    <w:rsid w:val="00440B9B"/>
    <w:rsid w:val="00462407"/>
    <w:rsid w:val="004B4554"/>
    <w:rsid w:val="004B68F8"/>
    <w:rsid w:val="004C6C80"/>
    <w:rsid w:val="004F559B"/>
    <w:rsid w:val="00505F9F"/>
    <w:rsid w:val="005071CC"/>
    <w:rsid w:val="00522D48"/>
    <w:rsid w:val="00525869"/>
    <w:rsid w:val="0058092C"/>
    <w:rsid w:val="005F34CB"/>
    <w:rsid w:val="006246ED"/>
    <w:rsid w:val="00656C4A"/>
    <w:rsid w:val="00662F56"/>
    <w:rsid w:val="006A64BA"/>
    <w:rsid w:val="00746F2B"/>
    <w:rsid w:val="0076732F"/>
    <w:rsid w:val="007C7AB3"/>
    <w:rsid w:val="007E2CCD"/>
    <w:rsid w:val="007E76CD"/>
    <w:rsid w:val="008148A1"/>
    <w:rsid w:val="008308E0"/>
    <w:rsid w:val="00836281"/>
    <w:rsid w:val="008513F1"/>
    <w:rsid w:val="008B0B65"/>
    <w:rsid w:val="008B1731"/>
    <w:rsid w:val="008D1A3E"/>
    <w:rsid w:val="00914406"/>
    <w:rsid w:val="00923111"/>
    <w:rsid w:val="00941CCE"/>
    <w:rsid w:val="009C140D"/>
    <w:rsid w:val="009D10C1"/>
    <w:rsid w:val="009F757C"/>
    <w:rsid w:val="00A056BE"/>
    <w:rsid w:val="00A64D2A"/>
    <w:rsid w:val="00A96415"/>
    <w:rsid w:val="00B23765"/>
    <w:rsid w:val="00B247E0"/>
    <w:rsid w:val="00B32D34"/>
    <w:rsid w:val="00B72D02"/>
    <w:rsid w:val="00BB15DE"/>
    <w:rsid w:val="00BB5883"/>
    <w:rsid w:val="00C05402"/>
    <w:rsid w:val="00C07679"/>
    <w:rsid w:val="00CC0F42"/>
    <w:rsid w:val="00CE7BC8"/>
    <w:rsid w:val="00D56877"/>
    <w:rsid w:val="00D731F0"/>
    <w:rsid w:val="00DA1C37"/>
    <w:rsid w:val="00DC2A85"/>
    <w:rsid w:val="00DE7057"/>
    <w:rsid w:val="00ED1DFB"/>
    <w:rsid w:val="00ED3E7F"/>
    <w:rsid w:val="00EE56D1"/>
    <w:rsid w:val="00EF1C78"/>
    <w:rsid w:val="00EF5E2F"/>
    <w:rsid w:val="00F166B0"/>
    <w:rsid w:val="00F34FC3"/>
    <w:rsid w:val="00FE0585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E5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Balloon Text"/>
    <w:basedOn w:val="a"/>
    <w:link w:val="a4"/>
    <w:unhideWhenUsed/>
    <w:rsid w:val="0092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111"/>
    <w:rPr>
      <w:rFonts w:ascii="Tahoma" w:hAnsi="Tahoma" w:cs="Tahoma"/>
      <w:sz w:val="16"/>
      <w:szCs w:val="16"/>
    </w:rPr>
  </w:style>
  <w:style w:type="character" w:styleId="a5">
    <w:name w:val="Hyperlink"/>
    <w:rsid w:val="00367C2E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0">
    <w:name w:val="s0"/>
    <w:rsid w:val="00367C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36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C2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nhideWhenUsed/>
    <w:rsid w:val="0046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62407"/>
  </w:style>
  <w:style w:type="paragraph" w:styleId="a8">
    <w:name w:val="footer"/>
    <w:basedOn w:val="a"/>
    <w:link w:val="a9"/>
    <w:uiPriority w:val="99"/>
    <w:unhideWhenUsed/>
    <w:rsid w:val="0046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407"/>
  </w:style>
  <w:style w:type="paragraph" w:styleId="aa">
    <w:name w:val="Body Text"/>
    <w:basedOn w:val="a"/>
    <w:link w:val="ab"/>
    <w:rsid w:val="00662F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62F5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page number"/>
    <w:basedOn w:val="a0"/>
    <w:rsid w:val="00662F56"/>
  </w:style>
  <w:style w:type="paragraph" w:styleId="ad">
    <w:name w:val="Plain Text"/>
    <w:basedOn w:val="a"/>
    <w:link w:val="ae"/>
    <w:uiPriority w:val="99"/>
    <w:unhideWhenUsed/>
    <w:rsid w:val="00662F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662F56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E5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Balloon Text"/>
    <w:basedOn w:val="a"/>
    <w:link w:val="a4"/>
    <w:unhideWhenUsed/>
    <w:rsid w:val="00923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111"/>
    <w:rPr>
      <w:rFonts w:ascii="Tahoma" w:hAnsi="Tahoma" w:cs="Tahoma"/>
      <w:sz w:val="16"/>
      <w:szCs w:val="16"/>
    </w:rPr>
  </w:style>
  <w:style w:type="character" w:styleId="a5">
    <w:name w:val="Hyperlink"/>
    <w:rsid w:val="00367C2E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0">
    <w:name w:val="s0"/>
    <w:rsid w:val="00367C2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13">
    <w:name w:val="j13"/>
    <w:basedOn w:val="a"/>
    <w:rsid w:val="0036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67C2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header"/>
    <w:basedOn w:val="a"/>
    <w:link w:val="a7"/>
    <w:unhideWhenUsed/>
    <w:rsid w:val="0046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62407"/>
  </w:style>
  <w:style w:type="paragraph" w:styleId="a8">
    <w:name w:val="footer"/>
    <w:basedOn w:val="a"/>
    <w:link w:val="a9"/>
    <w:uiPriority w:val="99"/>
    <w:unhideWhenUsed/>
    <w:rsid w:val="00462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2407"/>
  </w:style>
  <w:style w:type="paragraph" w:styleId="aa">
    <w:name w:val="Body Text"/>
    <w:basedOn w:val="a"/>
    <w:link w:val="ab"/>
    <w:rsid w:val="00662F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62F56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c">
    <w:name w:val="page number"/>
    <w:basedOn w:val="a0"/>
    <w:rsid w:val="00662F56"/>
  </w:style>
  <w:style w:type="paragraph" w:styleId="ad">
    <w:name w:val="Plain Text"/>
    <w:basedOn w:val="a"/>
    <w:link w:val="ae"/>
    <w:uiPriority w:val="99"/>
    <w:unhideWhenUsed/>
    <w:rsid w:val="00662F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662F5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50B3-D9A2-4FFD-9AD1-FDFB1259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7508</Words>
  <Characters>42800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ЖАНУЗАКОВА ГУЛЬЗАТ САТЫБАЛДИЕВНА</dc:creator>
  <cp:lastModifiedBy>УТЕЕВА ТОЛКЫН ДУЙСЕНБЕКОВНА</cp:lastModifiedBy>
  <cp:revision>3</cp:revision>
  <cp:lastPrinted>2016-11-29T11:09:00Z</cp:lastPrinted>
  <dcterms:created xsi:type="dcterms:W3CDTF">2016-12-09T09:09:00Z</dcterms:created>
  <dcterms:modified xsi:type="dcterms:W3CDTF">2016-12-12T03:17:00Z</dcterms:modified>
</cp:coreProperties>
</file>