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BA956" w14:textId="2370905F" w:rsidR="002373EF" w:rsidRPr="00CB6EAF" w:rsidRDefault="00CB6EAF" w:rsidP="00CB6EAF">
      <w:pPr>
        <w:jc w:val="center"/>
        <w:rPr>
          <w:rFonts w:ascii="Times New Roman" w:hAnsi="Times New Roman" w:cs="Times New Roman"/>
          <w:b/>
          <w:bCs/>
          <w:sz w:val="24"/>
          <w:szCs w:val="24"/>
          <w:lang w:val="kk-KZ"/>
        </w:rPr>
      </w:pPr>
      <w:r w:rsidRPr="00CB6EAF">
        <w:rPr>
          <w:rFonts w:ascii="Times New Roman" w:hAnsi="Times New Roman" w:cs="Times New Roman"/>
          <w:b/>
          <w:bCs/>
          <w:sz w:val="24"/>
          <w:szCs w:val="24"/>
        </w:rPr>
        <w:t>Налоговые споры</w:t>
      </w:r>
      <w:r w:rsidRPr="00CB6EAF">
        <w:rPr>
          <w:rFonts w:ascii="Times New Roman" w:hAnsi="Times New Roman" w:cs="Times New Roman"/>
          <w:b/>
          <w:bCs/>
          <w:sz w:val="24"/>
          <w:szCs w:val="24"/>
          <w:lang w:val="kk-KZ"/>
        </w:rPr>
        <w:t>,</w:t>
      </w:r>
      <w:r w:rsidRPr="00CB6EAF">
        <w:rPr>
          <w:rFonts w:ascii="Times New Roman" w:hAnsi="Times New Roman" w:cs="Times New Roman"/>
          <w:b/>
          <w:bCs/>
          <w:sz w:val="24"/>
          <w:szCs w:val="24"/>
        </w:rPr>
        <w:t xml:space="preserve"> о признании решения Налогового органа</w:t>
      </w:r>
      <w:r w:rsidRPr="00CB6EAF">
        <w:rPr>
          <w:rFonts w:ascii="Times New Roman" w:hAnsi="Times New Roman" w:cs="Times New Roman"/>
          <w:b/>
          <w:bCs/>
          <w:sz w:val="24"/>
          <w:szCs w:val="24"/>
          <w:lang w:val="kk-KZ"/>
        </w:rPr>
        <w:t xml:space="preserve"> </w:t>
      </w:r>
      <w:r w:rsidRPr="00CB6EAF">
        <w:rPr>
          <w:rFonts w:ascii="Times New Roman" w:hAnsi="Times New Roman" w:cs="Times New Roman"/>
          <w:b/>
          <w:bCs/>
          <w:sz w:val="24"/>
          <w:szCs w:val="24"/>
        </w:rPr>
        <w:t>документальной налоговой проверки</w:t>
      </w:r>
      <w:r w:rsidRPr="00CB6EAF">
        <w:rPr>
          <w:rFonts w:ascii="Times New Roman" w:hAnsi="Times New Roman" w:cs="Times New Roman"/>
          <w:b/>
          <w:bCs/>
          <w:sz w:val="24"/>
          <w:szCs w:val="24"/>
          <w:lang w:val="kk-KZ"/>
        </w:rPr>
        <w:t xml:space="preserve"> и </w:t>
      </w:r>
      <w:r w:rsidRPr="00CB6EAF">
        <w:rPr>
          <w:rFonts w:ascii="Times New Roman" w:hAnsi="Times New Roman" w:cs="Times New Roman"/>
          <w:b/>
          <w:bCs/>
          <w:sz w:val="24"/>
          <w:szCs w:val="24"/>
        </w:rPr>
        <w:t>уведомлении о результатах проверки</w:t>
      </w:r>
      <w:r w:rsidRPr="00CB6EAF">
        <w:rPr>
          <w:rFonts w:ascii="Times New Roman" w:hAnsi="Times New Roman" w:cs="Times New Roman"/>
          <w:b/>
          <w:bCs/>
          <w:sz w:val="24"/>
          <w:szCs w:val="24"/>
          <w:lang w:val="kk-KZ"/>
        </w:rPr>
        <w:t xml:space="preserve"> </w:t>
      </w:r>
      <w:r w:rsidRPr="00CB6EAF">
        <w:rPr>
          <w:rFonts w:ascii="Times New Roman" w:hAnsi="Times New Roman" w:cs="Times New Roman"/>
          <w:b/>
          <w:bCs/>
          <w:sz w:val="24"/>
          <w:szCs w:val="24"/>
        </w:rPr>
        <w:t>незаконным</w:t>
      </w:r>
    </w:p>
    <w:p w14:paraId="314E5BA6" w14:textId="77777777" w:rsidR="002373EF" w:rsidRDefault="002373EF" w:rsidP="00A81D5F">
      <w:pPr>
        <w:jc w:val="both"/>
        <w:rPr>
          <w:rFonts w:ascii="Times New Roman" w:hAnsi="Times New Roman" w:cs="Times New Roman"/>
          <w:sz w:val="24"/>
          <w:szCs w:val="24"/>
        </w:rPr>
      </w:pPr>
    </w:p>
    <w:p w14:paraId="04F0C2E2" w14:textId="217C1C17" w:rsidR="00F03F62" w:rsidRPr="002373EF" w:rsidRDefault="002C4E0E" w:rsidP="002373EF">
      <w:pPr>
        <w:ind w:firstLine="720"/>
        <w:jc w:val="both"/>
        <w:rPr>
          <w:rFonts w:ascii="Times New Roman" w:hAnsi="Times New Roman" w:cs="Times New Roman"/>
          <w:sz w:val="24"/>
          <w:szCs w:val="24"/>
        </w:rPr>
      </w:pPr>
      <w:r w:rsidRPr="002373EF">
        <w:rPr>
          <w:rFonts w:ascii="Times New Roman" w:hAnsi="Times New Roman" w:cs="Times New Roman"/>
          <w:sz w:val="24"/>
          <w:szCs w:val="24"/>
        </w:rPr>
        <w:t xml:space="preserve">Налоговые споры Пунктом 26 нормативного постановления Верховного Суда Республики Казахстан от 24 декабря 2010 года № 20 «О некоторых вопросах применения судами норм главы 29 Гражданского процессуального кодекса Республики Казахстан» установлено, что законность обжалуемого решения, действия (бездействия) </w:t>
      </w:r>
      <w:proofErr w:type="spellStart"/>
      <w:r w:rsidRPr="002373EF">
        <w:rPr>
          <w:rFonts w:ascii="Times New Roman" w:hAnsi="Times New Roman" w:cs="Times New Roman"/>
          <w:sz w:val="24"/>
          <w:szCs w:val="24"/>
        </w:rPr>
        <w:t>означает,что</w:t>
      </w:r>
      <w:proofErr w:type="spellEnd"/>
      <w:r w:rsidRPr="002373EF">
        <w:rPr>
          <w:rFonts w:ascii="Times New Roman" w:hAnsi="Times New Roman" w:cs="Times New Roman"/>
          <w:sz w:val="24"/>
          <w:szCs w:val="24"/>
        </w:rPr>
        <w:t xml:space="preserve"> оно принято (совершено) в соответствии с нормативными правовыми актами, в пределах компетенции государственного органа или органа местного самоуправления, полномочий должностного лица или государственного служащего</w:t>
      </w:r>
    </w:p>
    <w:p w14:paraId="03B03DCB" w14:textId="77777777" w:rsidR="002373EF" w:rsidRDefault="00F03F62" w:rsidP="002373EF">
      <w:pPr>
        <w:ind w:firstLine="720"/>
        <w:jc w:val="both"/>
        <w:rPr>
          <w:rFonts w:ascii="Times New Roman" w:hAnsi="Times New Roman" w:cs="Times New Roman"/>
          <w:sz w:val="24"/>
          <w:szCs w:val="24"/>
        </w:rPr>
      </w:pPr>
      <w:r w:rsidRPr="002373EF">
        <w:rPr>
          <w:rFonts w:ascii="Times New Roman" w:hAnsi="Times New Roman" w:cs="Times New Roman"/>
          <w:sz w:val="24"/>
          <w:szCs w:val="24"/>
        </w:rPr>
        <w:t xml:space="preserve">М. обратилась в суд с иском к Департаменту о признании решения Налогового органа, выраженного: - в акте документальной налоговой проверки от 28 марта 2016 года № 463 (далее - Акт) и в уведомлении о результатах проверки от 28 марта 2016 года № 463 (далее - Уведомление) о начислении суммы по индивидуальному подоходному налогу (далее – ИПН) с доходов, не облагаемых у источника выплаты в размере 4 082 894 тенге и пени незаконным; - о возложении обязанности на Налоговый орган отменить Акт и Уведомление, устранив в полном объеме допущенные нарушения прав и охраняемых законом интересов заявителя. Определением районного суда № 2 Алмалинского района города Алматы от 26 января 2018 года производство по делу в части признания решения Налогового органа, выраженного в Акте и Уведомлении незаконным, прекращено. </w:t>
      </w:r>
    </w:p>
    <w:p w14:paraId="65A005EE" w14:textId="3DFDA723" w:rsidR="002373EF" w:rsidRDefault="00F03F62" w:rsidP="002373EF">
      <w:pPr>
        <w:ind w:firstLine="720"/>
        <w:jc w:val="both"/>
        <w:rPr>
          <w:rFonts w:ascii="Times New Roman" w:hAnsi="Times New Roman" w:cs="Times New Roman"/>
          <w:sz w:val="24"/>
          <w:szCs w:val="24"/>
        </w:rPr>
      </w:pPr>
      <w:r w:rsidRPr="002373EF">
        <w:rPr>
          <w:rFonts w:ascii="Times New Roman" w:hAnsi="Times New Roman" w:cs="Times New Roman"/>
          <w:sz w:val="24"/>
          <w:szCs w:val="24"/>
        </w:rPr>
        <w:t xml:space="preserve">Решением районного суда № 2 Алмалинского района города Алматы от 26 января 2018 года в удовлетворении заявления отказано. Определением судебной коллегии по гражданским делам Алматинского городского суда от 14 мая 2018 года определение суда первой инстанции оставлено без изменения. Постановлением судебной коллегии по гражданским делам Алматинского городского суда от 14 мая 2018 года решение суда первой инстанции отменено. По делу вынесено новое решение об удовлетворении заявления. Уведомление признано незаконным. На Департамент возложена </w:t>
      </w:r>
      <w:hyperlink r:id="rId6" w:history="1">
        <w:r w:rsidRPr="009E4357">
          <w:rPr>
            <w:rStyle w:val="aa"/>
            <w:rFonts w:ascii="Times New Roman" w:hAnsi="Times New Roman" w:cs="Times New Roman"/>
            <w:sz w:val="24"/>
            <w:szCs w:val="24"/>
          </w:rPr>
          <w:t>обязанность об устранении допущенных нарушений</w:t>
        </w:r>
      </w:hyperlink>
      <w:r w:rsidRPr="002373EF">
        <w:rPr>
          <w:rFonts w:ascii="Times New Roman" w:hAnsi="Times New Roman" w:cs="Times New Roman"/>
          <w:sz w:val="24"/>
          <w:szCs w:val="24"/>
        </w:rPr>
        <w:t xml:space="preserve"> прав и законных интересов заявителя в месячный срок со дня вступления решения суда в законную силу Судебная коллегия по гражданским делам Верховного Суда отменила постановление апелляционной инстанции, оставив в силе решение суда первой инстанции по следующим основаниям. </w:t>
      </w:r>
    </w:p>
    <w:p w14:paraId="5A3D6A47" w14:textId="77777777" w:rsidR="002373EF" w:rsidRDefault="00F03F62" w:rsidP="002373EF">
      <w:pPr>
        <w:ind w:firstLine="720"/>
        <w:jc w:val="both"/>
        <w:rPr>
          <w:rFonts w:ascii="Times New Roman" w:hAnsi="Times New Roman" w:cs="Times New Roman"/>
          <w:sz w:val="24"/>
          <w:szCs w:val="24"/>
        </w:rPr>
      </w:pPr>
      <w:r w:rsidRPr="002373EF">
        <w:rPr>
          <w:rFonts w:ascii="Times New Roman" w:hAnsi="Times New Roman" w:cs="Times New Roman"/>
          <w:sz w:val="24"/>
          <w:szCs w:val="24"/>
        </w:rPr>
        <w:t xml:space="preserve">Судом установлено, что согласно договору на долевое участие в строительстве от 9 декабря 2005 года № 0912/05-П1-Е (далее – Договор) М. передала ТОО «Т» 19 208 393 тенге для долевого участия в строительстве дома по адресу: - город Алматы, улица </w:t>
      </w:r>
      <w:proofErr w:type="spellStart"/>
      <w:r w:rsidRPr="002373EF">
        <w:rPr>
          <w:rFonts w:ascii="Times New Roman" w:hAnsi="Times New Roman" w:cs="Times New Roman"/>
          <w:sz w:val="24"/>
          <w:szCs w:val="24"/>
        </w:rPr>
        <w:t>Зенкова</w:t>
      </w:r>
      <w:proofErr w:type="spellEnd"/>
      <w:r w:rsidRPr="002373EF">
        <w:rPr>
          <w:rFonts w:ascii="Times New Roman" w:hAnsi="Times New Roman" w:cs="Times New Roman"/>
          <w:sz w:val="24"/>
          <w:szCs w:val="24"/>
        </w:rPr>
        <w:t xml:space="preserve">, выше улицы </w:t>
      </w:r>
      <w:proofErr w:type="spellStart"/>
      <w:r w:rsidRPr="002373EF">
        <w:rPr>
          <w:rFonts w:ascii="Times New Roman" w:hAnsi="Times New Roman" w:cs="Times New Roman"/>
          <w:sz w:val="24"/>
          <w:szCs w:val="24"/>
        </w:rPr>
        <w:t>Кабанбай</w:t>
      </w:r>
      <w:proofErr w:type="spellEnd"/>
      <w:r w:rsidRPr="002373EF">
        <w:rPr>
          <w:rFonts w:ascii="Times New Roman" w:hAnsi="Times New Roman" w:cs="Times New Roman"/>
          <w:sz w:val="24"/>
          <w:szCs w:val="24"/>
        </w:rPr>
        <w:t xml:space="preserve"> батыра, за 3-комнатную квартиру, на 5-ом этаже в подъезде № 1, общей площадью 91, 7 кв. метров. Заключенным договором об уступке прав и обязанности от 16 августа 2011 года Т. безвозмездно передала М. права и обязанности по Договору. </w:t>
      </w:r>
    </w:p>
    <w:p w14:paraId="3AEE8AE6" w14:textId="77777777" w:rsidR="002373EF" w:rsidRDefault="00F03F62" w:rsidP="002373EF">
      <w:pPr>
        <w:ind w:firstLine="720"/>
        <w:jc w:val="both"/>
        <w:rPr>
          <w:rFonts w:ascii="Times New Roman" w:hAnsi="Times New Roman" w:cs="Times New Roman"/>
          <w:sz w:val="24"/>
          <w:szCs w:val="24"/>
        </w:rPr>
      </w:pPr>
      <w:r w:rsidRPr="002373EF">
        <w:rPr>
          <w:rFonts w:ascii="Times New Roman" w:hAnsi="Times New Roman" w:cs="Times New Roman"/>
          <w:sz w:val="24"/>
          <w:szCs w:val="24"/>
        </w:rPr>
        <w:t xml:space="preserve">Право собственности на приобретенное недвижимое имущество зарегистрировано за М. в органах юстиции 2 октября 2012 года. Согласно договору купли-продажи от 25 июня 2013 года М. произвела отчуждение квартиры Р. за 46 810 000 тенге. Договор купли-продажи зарегистрирован в ГУ «Департамент юстиции по городу Алматы» 28 июня 2013 года. Департаментом в отношении М., на основании предписания от 11 марта 2016 года № 463 проведена документальная налоговая проверка по вопросам неисполнения налогоплательщиком уведомления налоговых органов об устранении нарушений, выявленных по результатам камерального контроля. </w:t>
      </w:r>
    </w:p>
    <w:p w14:paraId="562EA178" w14:textId="77777777" w:rsidR="002373EF" w:rsidRDefault="00F03F62" w:rsidP="002373EF">
      <w:pPr>
        <w:ind w:firstLine="720"/>
        <w:jc w:val="both"/>
        <w:rPr>
          <w:rFonts w:ascii="Times New Roman" w:hAnsi="Times New Roman" w:cs="Times New Roman"/>
          <w:sz w:val="24"/>
          <w:szCs w:val="24"/>
        </w:rPr>
      </w:pPr>
      <w:r w:rsidRPr="002373EF">
        <w:rPr>
          <w:rFonts w:ascii="Times New Roman" w:hAnsi="Times New Roman" w:cs="Times New Roman"/>
          <w:sz w:val="24"/>
          <w:szCs w:val="24"/>
        </w:rPr>
        <w:lastRenderedPageBreak/>
        <w:t xml:space="preserve">По итогам проверки составлен Акт и выставлено оспариваемое Уведомление. Суд первой инстанции, отказывая в удовлетворении заявления, исходил из того, что оспариваемое решение принято Налоговым органом в соответствии с требованиями закона, в пределах компетенции и полномочий государственного органа. </w:t>
      </w:r>
    </w:p>
    <w:p w14:paraId="3EE403F2" w14:textId="77777777" w:rsidR="002373EF" w:rsidRDefault="00F03F62" w:rsidP="002373EF">
      <w:pPr>
        <w:ind w:firstLine="720"/>
        <w:jc w:val="both"/>
        <w:rPr>
          <w:rFonts w:ascii="Times New Roman" w:hAnsi="Times New Roman" w:cs="Times New Roman"/>
          <w:sz w:val="24"/>
          <w:szCs w:val="24"/>
        </w:rPr>
      </w:pPr>
      <w:r w:rsidRPr="002373EF">
        <w:rPr>
          <w:rFonts w:ascii="Times New Roman" w:hAnsi="Times New Roman" w:cs="Times New Roman"/>
          <w:sz w:val="24"/>
          <w:szCs w:val="24"/>
        </w:rPr>
        <w:t xml:space="preserve">Самостоятельным основанием для отказа в иске суд привел пропуск трехмесячного срока для обращения в суд. Апелляционная коллегия, отменяя решение суда и признав Уведомление незаконным, свои выводы мотивировала тем, что начисление ИПН от реализации недвижимого имущества М. Налоговым органом произведено в нарушение законодательства. Вместе с тем с такими выводами апелляционной инстанции нельзя согласиться, поскольку они основаны на неправильном применении норм материального и процессуального права и на несоответствии выводов суда, изложенных в постановлении, обстоятельствам дела. </w:t>
      </w:r>
    </w:p>
    <w:p w14:paraId="3A252671" w14:textId="77777777" w:rsidR="002373EF" w:rsidRDefault="00F03F62" w:rsidP="002373EF">
      <w:pPr>
        <w:ind w:firstLine="720"/>
        <w:jc w:val="both"/>
        <w:rPr>
          <w:rFonts w:ascii="Times New Roman" w:hAnsi="Times New Roman" w:cs="Times New Roman"/>
          <w:sz w:val="24"/>
          <w:szCs w:val="24"/>
        </w:rPr>
      </w:pPr>
      <w:r w:rsidRPr="002373EF">
        <w:rPr>
          <w:rFonts w:ascii="Times New Roman" w:hAnsi="Times New Roman" w:cs="Times New Roman"/>
          <w:sz w:val="24"/>
          <w:szCs w:val="24"/>
        </w:rPr>
        <w:t xml:space="preserve">Согласно подпункту 1) пункта 1 статьи 180 Кодекса Республики Казахстан «О налогах и других обязательных платежах в бюджет» (далее – Налоговый кодекс), действовавшего на момент возникновения правоотношений, к имущественному доходу физического лица, подлежащему налогообложению, относится: - доход от прироста стоимости при реализации физическим лицом, а также индивидуальным предпринимателем, применяющим специальный налоговый режим для субъектов малого бизнеса, имущества, указанного в статье 180-1 настоящего Кодекса. Пунктом 4 статьи 180-1 Налогового кодекса определено, что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 По делу достоверно установлено и не оспаривается сторонами, что М., являясь самостоятельным налогоплательщиком, получила права и обязанности по Договору безвозмездно. </w:t>
      </w:r>
    </w:p>
    <w:p w14:paraId="4E14C412" w14:textId="77777777" w:rsidR="002373EF" w:rsidRDefault="00F03F62" w:rsidP="002373EF">
      <w:pPr>
        <w:ind w:firstLine="720"/>
        <w:jc w:val="both"/>
        <w:rPr>
          <w:rFonts w:ascii="Times New Roman" w:hAnsi="Times New Roman" w:cs="Times New Roman"/>
          <w:sz w:val="24"/>
          <w:szCs w:val="24"/>
        </w:rPr>
      </w:pPr>
      <w:r w:rsidRPr="002373EF">
        <w:rPr>
          <w:rFonts w:ascii="Times New Roman" w:hAnsi="Times New Roman" w:cs="Times New Roman"/>
          <w:sz w:val="24"/>
          <w:szCs w:val="24"/>
        </w:rPr>
        <w:t xml:space="preserve">В этой связи коллегия соглашается с доводами ходатайства о том, что к спорным правоотношениям подлежал применению подпункт 1) пункта 7 статьи </w:t>
      </w:r>
      <w:proofErr w:type="gramStart"/>
      <w:r w:rsidRPr="002373EF">
        <w:rPr>
          <w:rFonts w:ascii="Times New Roman" w:hAnsi="Times New Roman" w:cs="Times New Roman"/>
          <w:sz w:val="24"/>
          <w:szCs w:val="24"/>
        </w:rPr>
        <w:t>180-1</w:t>
      </w:r>
      <w:proofErr w:type="gramEnd"/>
      <w:r w:rsidRPr="002373EF">
        <w:rPr>
          <w:rFonts w:ascii="Times New Roman" w:hAnsi="Times New Roman" w:cs="Times New Roman"/>
          <w:sz w:val="24"/>
          <w:szCs w:val="24"/>
        </w:rPr>
        <w:t xml:space="preserve"> Налогового Кодекса. Из приведенной нормы материального права следует, что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 - по имуществу, указанному в подпункте 1) пункта 1 настоящей статьи, – положительная разница между ценой (стоимостью) реализации имущества и оценочной стоимостью. </w:t>
      </w:r>
    </w:p>
    <w:p w14:paraId="1D2F1F0D" w14:textId="31B22432" w:rsidR="002373EF" w:rsidRDefault="00F03F62" w:rsidP="002373EF">
      <w:pPr>
        <w:ind w:firstLine="720"/>
        <w:jc w:val="both"/>
        <w:rPr>
          <w:rFonts w:ascii="Times New Roman" w:hAnsi="Times New Roman" w:cs="Times New Roman"/>
          <w:sz w:val="24"/>
          <w:szCs w:val="24"/>
        </w:rPr>
      </w:pPr>
      <w:r w:rsidRPr="002373EF">
        <w:rPr>
          <w:rFonts w:ascii="Times New Roman" w:hAnsi="Times New Roman" w:cs="Times New Roman"/>
          <w:sz w:val="24"/>
          <w:szCs w:val="24"/>
        </w:rPr>
        <w:t xml:space="preserve">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следующего за отчетным налоговым периодом, в котором возникло право собственности на реализованное имущество. Право собственности на недвижимое имущество за М. зарегистрировано 2 октября 2012 года. Это обстоятельство подтверждается свидетельством на право собственности от 26 сентября 2012 года № 035888. Отчуждение квартиры по договору купли-продажи произведено 26 июня 2013 года за сумму 46 810 000 тенге. Оценочная стоимость имущества, по данным органа юстиции, составила 5 981 065 тенге. Таким образом, у М. возник имущественный доход от продажи недвижимости, который, в силу пункта 1 </w:t>
      </w:r>
      <w:r w:rsidRPr="002373EF">
        <w:rPr>
          <w:rFonts w:ascii="Times New Roman" w:hAnsi="Times New Roman" w:cs="Times New Roman"/>
          <w:sz w:val="24"/>
          <w:szCs w:val="24"/>
        </w:rPr>
        <w:lastRenderedPageBreak/>
        <w:t xml:space="preserve">статьи 158 Налогового кодекса, подлежит налогообложению по ставке 10%. Пунктом 26 нормативного постановления Верховного Суда Республики Казахстан от 24 декабря 2010 года № 20 «О некоторых вопросах применения судами норм главы 29 Гражданского процессуального кодекса Республики Казахстан» установлено, что законность обжалуемого решения, действия (бездействия) означает, что оно принято (совершено) в соответствии с нормативными правовыми актами, в пределах компетенции государственного органа или органа местного </w:t>
      </w:r>
      <w:hyperlink r:id="rId7" w:history="1">
        <w:r w:rsidRPr="002373EF">
          <w:rPr>
            <w:rStyle w:val="aa"/>
            <w:rFonts w:ascii="Times New Roman" w:hAnsi="Times New Roman" w:cs="Times New Roman"/>
            <w:sz w:val="24"/>
            <w:szCs w:val="24"/>
          </w:rPr>
          <w:t>самоуправления, полномочий должностного лица или государственного</w:t>
        </w:r>
      </w:hyperlink>
      <w:r w:rsidRPr="002373EF">
        <w:rPr>
          <w:rFonts w:ascii="Times New Roman" w:hAnsi="Times New Roman" w:cs="Times New Roman"/>
          <w:sz w:val="24"/>
          <w:szCs w:val="24"/>
        </w:rPr>
        <w:t xml:space="preserve"> служащего. </w:t>
      </w:r>
    </w:p>
    <w:p w14:paraId="00379CCD" w14:textId="0DB2BDFC" w:rsidR="00A81D5F" w:rsidRPr="002373EF" w:rsidRDefault="00F03F62" w:rsidP="002373EF">
      <w:pPr>
        <w:ind w:firstLine="720"/>
        <w:jc w:val="both"/>
        <w:rPr>
          <w:rFonts w:ascii="Times New Roman" w:hAnsi="Times New Roman" w:cs="Times New Roman"/>
          <w:sz w:val="24"/>
          <w:szCs w:val="24"/>
        </w:rPr>
      </w:pPr>
      <w:r w:rsidRPr="002373EF">
        <w:rPr>
          <w:rFonts w:ascii="Times New Roman" w:hAnsi="Times New Roman" w:cs="Times New Roman"/>
          <w:sz w:val="24"/>
          <w:szCs w:val="24"/>
        </w:rPr>
        <w:t>Признав законность обжалованного решения, действия (бездействия), суд в соответствии с частью второй статьи 227 ГПК выносит решение об оставлении заявления без удовлетворения. Поскольку обжалуемое Уведомление принято Департаментом в соответствии с требованиями Налогового кодекса и в пределах компетенции государственного органа, коллегия приходит к выводу об обоснованности доводов ходатайства и законности решения суда первой инстанции.</w:t>
      </w:r>
      <w:r w:rsidR="00CF5BD5" w:rsidRPr="002373EF">
        <w:rPr>
          <w:rFonts w:ascii="Times New Roman" w:hAnsi="Times New Roman" w:cs="Times New Roman"/>
          <w:sz w:val="24"/>
          <w:szCs w:val="24"/>
        </w:rPr>
        <w:t xml:space="preserve"> </w:t>
      </w:r>
    </w:p>
    <w:p w14:paraId="7EA7FA65" w14:textId="0D3DEF47" w:rsidR="00F173BA" w:rsidRPr="002373EF" w:rsidRDefault="00F173BA" w:rsidP="002570B0">
      <w:pPr>
        <w:rPr>
          <w:rFonts w:ascii="Times New Roman" w:hAnsi="Times New Roman" w:cs="Times New Roman"/>
          <w:sz w:val="24"/>
          <w:szCs w:val="24"/>
        </w:rPr>
      </w:pPr>
    </w:p>
    <w:p w14:paraId="1C113091" w14:textId="5A80DFE0" w:rsidR="00F173BA" w:rsidRPr="002373EF" w:rsidRDefault="00F173BA" w:rsidP="002570B0">
      <w:pPr>
        <w:rPr>
          <w:rFonts w:ascii="Times New Roman" w:hAnsi="Times New Roman" w:cs="Times New Roman"/>
          <w:sz w:val="24"/>
          <w:szCs w:val="24"/>
        </w:rPr>
      </w:pPr>
    </w:p>
    <w:p w14:paraId="1D196CDE" w14:textId="737247FA" w:rsidR="00F173BA" w:rsidRPr="002373EF" w:rsidRDefault="00F173BA" w:rsidP="002570B0">
      <w:pPr>
        <w:rPr>
          <w:rFonts w:ascii="Times New Roman" w:hAnsi="Times New Roman" w:cs="Times New Roman"/>
          <w:sz w:val="24"/>
          <w:szCs w:val="24"/>
        </w:rPr>
      </w:pPr>
    </w:p>
    <w:p w14:paraId="02403F08" w14:textId="75BEB719" w:rsidR="00F173BA" w:rsidRPr="002373EF" w:rsidRDefault="00F173BA" w:rsidP="002570B0">
      <w:pPr>
        <w:rPr>
          <w:rFonts w:ascii="Times New Roman" w:hAnsi="Times New Roman" w:cs="Times New Roman"/>
          <w:sz w:val="24"/>
          <w:szCs w:val="24"/>
        </w:rPr>
      </w:pPr>
    </w:p>
    <w:p w14:paraId="308325D5" w14:textId="324F2E94" w:rsidR="00F173BA" w:rsidRPr="002373EF" w:rsidRDefault="00F173BA" w:rsidP="002570B0">
      <w:pPr>
        <w:rPr>
          <w:rFonts w:ascii="Times New Roman" w:hAnsi="Times New Roman" w:cs="Times New Roman"/>
          <w:sz w:val="24"/>
          <w:szCs w:val="24"/>
        </w:rPr>
      </w:pPr>
    </w:p>
    <w:p w14:paraId="22BAA135" w14:textId="6CC745FE" w:rsidR="00F173BA" w:rsidRPr="002373EF" w:rsidRDefault="00F173BA" w:rsidP="002570B0">
      <w:pPr>
        <w:rPr>
          <w:rFonts w:ascii="Times New Roman" w:hAnsi="Times New Roman" w:cs="Times New Roman"/>
          <w:sz w:val="24"/>
          <w:szCs w:val="24"/>
        </w:rPr>
      </w:pPr>
    </w:p>
    <w:p w14:paraId="33D51603" w14:textId="10BA4AEF" w:rsidR="00F173BA" w:rsidRPr="002373EF" w:rsidRDefault="00F173BA" w:rsidP="002570B0">
      <w:pPr>
        <w:rPr>
          <w:rFonts w:ascii="Times New Roman" w:hAnsi="Times New Roman" w:cs="Times New Roman"/>
          <w:sz w:val="24"/>
          <w:szCs w:val="24"/>
        </w:rPr>
      </w:pPr>
    </w:p>
    <w:p w14:paraId="55D95E22" w14:textId="0EFD17BF" w:rsidR="00F173BA" w:rsidRPr="002373EF" w:rsidRDefault="00F173BA" w:rsidP="002570B0">
      <w:pPr>
        <w:rPr>
          <w:rFonts w:ascii="Times New Roman" w:hAnsi="Times New Roman" w:cs="Times New Roman"/>
          <w:sz w:val="24"/>
          <w:szCs w:val="24"/>
        </w:rPr>
      </w:pPr>
    </w:p>
    <w:p w14:paraId="1E84A240" w14:textId="61513D00" w:rsidR="00F173BA" w:rsidRPr="002373EF" w:rsidRDefault="00F173BA" w:rsidP="002570B0">
      <w:pPr>
        <w:rPr>
          <w:rFonts w:ascii="Times New Roman" w:hAnsi="Times New Roman" w:cs="Times New Roman"/>
          <w:sz w:val="24"/>
          <w:szCs w:val="24"/>
        </w:rPr>
      </w:pPr>
    </w:p>
    <w:p w14:paraId="049E1B58" w14:textId="408BB97D" w:rsidR="00F173BA" w:rsidRPr="002373EF" w:rsidRDefault="00F173BA" w:rsidP="002570B0">
      <w:pPr>
        <w:rPr>
          <w:rFonts w:ascii="Times New Roman" w:hAnsi="Times New Roman" w:cs="Times New Roman"/>
          <w:sz w:val="24"/>
          <w:szCs w:val="24"/>
        </w:rPr>
      </w:pPr>
    </w:p>
    <w:p w14:paraId="3F19C72F" w14:textId="49CAEBA5" w:rsidR="00F173BA" w:rsidRPr="002373EF" w:rsidRDefault="00F173BA" w:rsidP="00F173BA">
      <w:pPr>
        <w:tabs>
          <w:tab w:val="left" w:pos="6948"/>
        </w:tabs>
        <w:rPr>
          <w:rFonts w:ascii="Times New Roman" w:hAnsi="Times New Roman" w:cs="Times New Roman"/>
          <w:sz w:val="24"/>
          <w:szCs w:val="24"/>
        </w:rPr>
      </w:pPr>
      <w:r w:rsidRPr="002373EF">
        <w:rPr>
          <w:rFonts w:ascii="Times New Roman" w:hAnsi="Times New Roman" w:cs="Times New Roman"/>
          <w:sz w:val="24"/>
          <w:szCs w:val="24"/>
        </w:rPr>
        <w:tab/>
      </w:r>
    </w:p>
    <w:sectPr w:rsidR="00F173BA" w:rsidRPr="002373E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C8BB0" w14:textId="77777777" w:rsidR="00091B62" w:rsidRDefault="00091B62" w:rsidP="00702393">
      <w:pPr>
        <w:spacing w:after="0" w:line="240" w:lineRule="auto"/>
      </w:pPr>
      <w:r>
        <w:separator/>
      </w:r>
    </w:p>
  </w:endnote>
  <w:endnote w:type="continuationSeparator" w:id="0">
    <w:p w14:paraId="1581A25C" w14:textId="77777777" w:rsidR="00091B62" w:rsidRDefault="00091B6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8B4A9" w14:textId="77777777" w:rsidR="00091B62" w:rsidRDefault="00091B62" w:rsidP="00702393">
      <w:pPr>
        <w:spacing w:after="0" w:line="240" w:lineRule="auto"/>
      </w:pPr>
      <w:r>
        <w:separator/>
      </w:r>
    </w:p>
  </w:footnote>
  <w:footnote w:type="continuationSeparator" w:id="0">
    <w:p w14:paraId="49B54059" w14:textId="77777777" w:rsidR="00091B62" w:rsidRDefault="00091B6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91B62"/>
    <w:rsid w:val="00102D7B"/>
    <w:rsid w:val="00152128"/>
    <w:rsid w:val="001539CF"/>
    <w:rsid w:val="00193E1B"/>
    <w:rsid w:val="001C5801"/>
    <w:rsid w:val="001E7ED8"/>
    <w:rsid w:val="002373EF"/>
    <w:rsid w:val="002570B0"/>
    <w:rsid w:val="002A1A72"/>
    <w:rsid w:val="002B659E"/>
    <w:rsid w:val="002C4E0E"/>
    <w:rsid w:val="00315990"/>
    <w:rsid w:val="00327D34"/>
    <w:rsid w:val="00327E86"/>
    <w:rsid w:val="00396063"/>
    <w:rsid w:val="003C77EA"/>
    <w:rsid w:val="003E3623"/>
    <w:rsid w:val="00442855"/>
    <w:rsid w:val="00461793"/>
    <w:rsid w:val="005A3B78"/>
    <w:rsid w:val="006B0A4D"/>
    <w:rsid w:val="006E2D0A"/>
    <w:rsid w:val="00702393"/>
    <w:rsid w:val="00722D19"/>
    <w:rsid w:val="008A7236"/>
    <w:rsid w:val="008E7DF6"/>
    <w:rsid w:val="0091354D"/>
    <w:rsid w:val="00940023"/>
    <w:rsid w:val="0094655E"/>
    <w:rsid w:val="009E4357"/>
    <w:rsid w:val="009E6904"/>
    <w:rsid w:val="00A23573"/>
    <w:rsid w:val="00A45B15"/>
    <w:rsid w:val="00A81D5F"/>
    <w:rsid w:val="00B31BDB"/>
    <w:rsid w:val="00BD7730"/>
    <w:rsid w:val="00C16D9C"/>
    <w:rsid w:val="00CB275A"/>
    <w:rsid w:val="00CB6EAF"/>
    <w:rsid w:val="00CF5BD5"/>
    <w:rsid w:val="00D02DFB"/>
    <w:rsid w:val="00DB660C"/>
    <w:rsid w:val="00EE78AD"/>
    <w:rsid w:val="00F03F62"/>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2373EF"/>
    <w:rPr>
      <w:color w:val="0563C1" w:themeColor="hyperlink"/>
      <w:u w:val="single"/>
    </w:rPr>
  </w:style>
  <w:style w:type="character" w:styleId="ab">
    <w:name w:val="Unresolved Mention"/>
    <w:basedOn w:val="a0"/>
    <w:uiPriority w:val="99"/>
    <w:semiHidden/>
    <w:unhideWhenUsed/>
    <w:rsid w:val="002373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profile/576689877171"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1237</Words>
  <Characters>7051</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2021-12-03T13:32:00Z</dcterms:modified>
</cp:coreProperties>
</file>