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79C753" w14:textId="77777777" w:rsidR="00C13FD3" w:rsidRPr="00FB5726" w:rsidRDefault="00F03586" w:rsidP="00FB5726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B5726">
        <w:rPr>
          <w:rFonts w:ascii="Times New Roman" w:hAnsi="Times New Roman" w:cs="Times New Roman"/>
          <w:b/>
          <w:bCs/>
          <w:sz w:val="24"/>
          <w:szCs w:val="24"/>
        </w:rPr>
        <w:t>Медь, попутно извлекаемая при добыче золота и серебра, объектом добычи не является. Поэтому у недропользователя не возникает обязательства по уплате роялти и НДПИ</w:t>
      </w:r>
    </w:p>
    <w:p w14:paraId="363CC2EA" w14:textId="77777777" w:rsidR="00C13FD3" w:rsidRPr="00FB5726" w:rsidRDefault="00C13FD3" w:rsidP="00A81D5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ED591E4" w14:textId="77777777" w:rsidR="00FB5726" w:rsidRDefault="00C13FD3" w:rsidP="00FB5726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B5726">
        <w:rPr>
          <w:rFonts w:ascii="Times New Roman" w:hAnsi="Times New Roman" w:cs="Times New Roman"/>
          <w:sz w:val="24"/>
          <w:szCs w:val="24"/>
        </w:rPr>
        <w:t xml:space="preserve">В качестве примера можно привести дело по заявлению ТОО «Ю» об оспаривании уведомления налогового органа в части начисления роялти и НДПИ – 123 393 418 тенге, пени – 27 370 806 тенге. Основанием для доначислений послужила неуплата Товариществом налога за медь, добываемую попутно с золотом и серебром. Дело неоднократно рассматривалось различными судебными инстанциями. </w:t>
      </w:r>
    </w:p>
    <w:p w14:paraId="25414DCC" w14:textId="77777777" w:rsidR="00FB5726" w:rsidRDefault="00C13FD3" w:rsidP="00FB5726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B5726">
        <w:rPr>
          <w:rFonts w:ascii="Times New Roman" w:hAnsi="Times New Roman" w:cs="Times New Roman"/>
          <w:sz w:val="24"/>
          <w:szCs w:val="24"/>
        </w:rPr>
        <w:t xml:space="preserve">По результатам повторного рассмотрения суд апелляционной инстанции вынес решение об удовлетворении заявления Товарищества и указал, что согласно условиям Контракта Товарищество осуществляло добычу только золота и серебра, а извлекаемая попутно медь объектом добычи не является, следовательно, у Товарищества обязательства по уплате роялти и НДПИ не возникли. Судом кассационной инстанции данные выводы признаны правильными. Установлено, что Товарищество осуществляет деятельность на основании контракта от 14 декабря 2001 года № 830 на проведение добычи золотосодержащих руд на месторождении «Юбилейное» в Актюбинской области, заключенного с Компетентным органом Республики Казахстан. </w:t>
      </w:r>
    </w:p>
    <w:p w14:paraId="51CCF46B" w14:textId="04582D07" w:rsidR="00FB5726" w:rsidRDefault="00C13FD3" w:rsidP="00FB5726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B5726">
        <w:rPr>
          <w:rFonts w:ascii="Times New Roman" w:hAnsi="Times New Roman" w:cs="Times New Roman"/>
          <w:sz w:val="24"/>
          <w:szCs w:val="24"/>
        </w:rPr>
        <w:t xml:space="preserve">При этом запасы полезных ископаемых по месторождению «Юбилейное» были утверждены протоколом Государственной Комиссии от 22 июля 1996 года № 44, согласно которому медь в составе золотосодержащих руд отнесена к другим попутным компонентам. Заключению Контракта с Товариществом предшествовали результаты налоговой экспертизы от 14 июня 2001 года № 2, согласно которой объектами налогообложения по платежам роялти установлены золото и серебро. При этом медь не установлена объектом обложения роялти. Пунктом 4.3.3.2 дополнения № 2 к </w:t>
      </w:r>
      <w:hyperlink r:id="rId6" w:history="1">
        <w:r w:rsidRPr="006C52F0">
          <w:rPr>
            <w:rStyle w:val="aa"/>
            <w:rFonts w:ascii="Times New Roman" w:hAnsi="Times New Roman" w:cs="Times New Roman"/>
            <w:sz w:val="24"/>
            <w:szCs w:val="24"/>
          </w:rPr>
          <w:t>Контракту предусмотрены ставки роялти за добычу золота</w:t>
        </w:r>
      </w:hyperlink>
      <w:r w:rsidRPr="00FB5726">
        <w:rPr>
          <w:rFonts w:ascii="Times New Roman" w:hAnsi="Times New Roman" w:cs="Times New Roman"/>
          <w:sz w:val="24"/>
          <w:szCs w:val="24"/>
        </w:rPr>
        <w:t xml:space="preserve"> и серебра. Рабочей программой к Контракту, согласованной с Компетентным органом, закреплено, что объектом добычи являются золото и серебро, а медь отнесена к попутному компоненту. </w:t>
      </w:r>
    </w:p>
    <w:p w14:paraId="55DFB32A" w14:textId="77777777" w:rsidR="00FB5726" w:rsidRDefault="00C13FD3" w:rsidP="00FB5726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B5726">
        <w:rPr>
          <w:rFonts w:ascii="Times New Roman" w:hAnsi="Times New Roman" w:cs="Times New Roman"/>
          <w:sz w:val="24"/>
          <w:szCs w:val="24"/>
        </w:rPr>
        <w:t xml:space="preserve">Судебная коллегия указала, что доводы Товарищества о том, что понятия «попутный компонент» и «попутное полезное ископаемое» разграничены на уровне нормативно-правовых актов, заслуживают внимания. Согласно постановлению Правительства Республики Казахстан от 18 октября 1996 года № 1287 в Государственный баланс подлежат включению как полезные ископаемые, так и запасы попутных компонентов (извлекаемые и не извлекаемые). Такой учет необходим для расчета запасов недр. При этом объекты налогообложения определяются Налоговым кодексом путем разграничения полезных ископаемых от попутных компонентов. </w:t>
      </w:r>
    </w:p>
    <w:p w14:paraId="6C4A2A5A" w14:textId="77777777" w:rsidR="00FB5726" w:rsidRDefault="00C13FD3" w:rsidP="00FB5726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B5726">
        <w:rPr>
          <w:rFonts w:ascii="Times New Roman" w:hAnsi="Times New Roman" w:cs="Times New Roman"/>
          <w:sz w:val="24"/>
          <w:szCs w:val="24"/>
        </w:rPr>
        <w:t>Из акта налоговой проверки от 15 августа 2014 года № 33 следует, что в процессе выплавки меди технологическая руда полностью расплавляется и ее компоненты (за исключением золота и частично серебра) переходят в шлак - невозвратные отходы производства меди (медь остается в шлаке). Данные обстоятельства согласуются с выводами Межрегионального 4 департамента «</w:t>
      </w:r>
      <w:proofErr w:type="spellStart"/>
      <w:r w:rsidRPr="00FB5726">
        <w:rPr>
          <w:rFonts w:ascii="Times New Roman" w:hAnsi="Times New Roman" w:cs="Times New Roman"/>
          <w:sz w:val="24"/>
          <w:szCs w:val="24"/>
        </w:rPr>
        <w:t>Запказнедра</w:t>
      </w:r>
      <w:proofErr w:type="spellEnd"/>
      <w:r w:rsidRPr="00FB5726">
        <w:rPr>
          <w:rFonts w:ascii="Times New Roman" w:hAnsi="Times New Roman" w:cs="Times New Roman"/>
          <w:sz w:val="24"/>
          <w:szCs w:val="24"/>
        </w:rPr>
        <w:t xml:space="preserve">» Комитета геологии и недропользования и ОАО «У» (приобретатель золотосодержащей руды) о том, что объектом добычи является только золото и серебро, медь из концентрата руды не извлекается в связи с нерентабельностью. </w:t>
      </w:r>
    </w:p>
    <w:p w14:paraId="00379CCD" w14:textId="434994E8" w:rsidR="00A81D5F" w:rsidRPr="00FB5726" w:rsidRDefault="00C13FD3" w:rsidP="00FB5726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B5726">
        <w:rPr>
          <w:rFonts w:ascii="Times New Roman" w:hAnsi="Times New Roman" w:cs="Times New Roman"/>
          <w:sz w:val="24"/>
          <w:szCs w:val="24"/>
        </w:rPr>
        <w:t xml:space="preserve">В силу статьи 337 Налогового кодекса (в редакции до 2015 года) облагаемым объемом погашенных запасов является объем погашенных запасов полезных ископаемых, </w:t>
      </w:r>
      <w:r w:rsidRPr="00FB5726">
        <w:rPr>
          <w:rFonts w:ascii="Times New Roman" w:hAnsi="Times New Roman" w:cs="Times New Roman"/>
          <w:sz w:val="24"/>
          <w:szCs w:val="24"/>
        </w:rPr>
        <w:lastRenderedPageBreak/>
        <w:t xml:space="preserve">содержащихся в минеральном сырье, извлечение, использование (реализация) которых предусмотрены условиями контракта на недропользование, за вычетом объема нормируемых потерь, за налоговый период. Согласно положениям указанных норм налогообложение НДПИ предусматривалось в </w:t>
      </w:r>
      <w:hyperlink r:id="rId7" w:history="1">
        <w:r w:rsidRPr="00FB5726">
          <w:rPr>
            <w:rStyle w:val="aa"/>
            <w:rFonts w:ascii="Times New Roman" w:hAnsi="Times New Roman" w:cs="Times New Roman"/>
            <w:sz w:val="24"/>
            <w:szCs w:val="24"/>
          </w:rPr>
          <w:t>отношении лишь тех, извлечение и использование которых прямо</w:t>
        </w:r>
      </w:hyperlink>
      <w:r w:rsidRPr="00FB5726">
        <w:rPr>
          <w:rFonts w:ascii="Times New Roman" w:hAnsi="Times New Roman" w:cs="Times New Roman"/>
          <w:sz w:val="24"/>
          <w:szCs w:val="24"/>
        </w:rPr>
        <w:t xml:space="preserve"> предусмотрено условиями контрактов. Настоящим контрактом извлечение и использование меди не предусмотрено.</w:t>
      </w:r>
      <w:r w:rsidR="00CF5BD5" w:rsidRPr="00FB572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EA7FA65" w14:textId="0D3DEF47" w:rsidR="00F173BA" w:rsidRPr="00FB5726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1C113091" w14:textId="5A80DFE0" w:rsidR="00F173BA" w:rsidRPr="00FB5726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1D196CDE" w14:textId="737247FA" w:rsidR="00F173BA" w:rsidRPr="00FB5726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02403F08" w14:textId="75BEB719" w:rsidR="00F173BA" w:rsidRPr="00FB5726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308325D5" w14:textId="324F2E94" w:rsidR="00F173BA" w:rsidRPr="00FB5726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22BAA135" w14:textId="6CC745FE" w:rsidR="00F173BA" w:rsidRPr="00FB5726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33D51603" w14:textId="10BA4AEF" w:rsidR="00F173BA" w:rsidRPr="00FB5726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55D95E22" w14:textId="0EFD17BF" w:rsidR="00F173BA" w:rsidRPr="00FB5726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1E84A240" w14:textId="61513D00" w:rsidR="00F173BA" w:rsidRPr="00FB5726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049E1B58" w14:textId="408BB97D" w:rsidR="00F173BA" w:rsidRPr="00FB5726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3F19C72F" w14:textId="49CAEBA5" w:rsidR="00F173BA" w:rsidRPr="00FB5726" w:rsidRDefault="00F173BA" w:rsidP="00F173BA">
      <w:pPr>
        <w:tabs>
          <w:tab w:val="left" w:pos="6948"/>
        </w:tabs>
        <w:rPr>
          <w:rFonts w:ascii="Times New Roman" w:hAnsi="Times New Roman" w:cs="Times New Roman"/>
          <w:sz w:val="24"/>
          <w:szCs w:val="24"/>
        </w:rPr>
      </w:pPr>
      <w:r w:rsidRPr="00FB5726">
        <w:rPr>
          <w:rFonts w:ascii="Times New Roman" w:hAnsi="Times New Roman" w:cs="Times New Roman"/>
          <w:sz w:val="24"/>
          <w:szCs w:val="24"/>
        </w:rPr>
        <w:tab/>
      </w:r>
    </w:p>
    <w:sectPr w:rsidR="00F173BA" w:rsidRPr="00FB5726" w:rsidSect="00327D34">
      <w:headerReference w:type="default" r:id="rId8"/>
      <w:footerReference w:type="default" r:id="rId9"/>
      <w:pgSz w:w="11906" w:h="16838"/>
      <w:pgMar w:top="397" w:right="991" w:bottom="568" w:left="1134" w:header="142" w:footer="1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03188C" w14:textId="77777777" w:rsidR="001E7ED8" w:rsidRDefault="001E7ED8" w:rsidP="00702393">
      <w:pPr>
        <w:spacing w:after="0" w:line="240" w:lineRule="auto"/>
      </w:pPr>
      <w:r>
        <w:separator/>
      </w:r>
    </w:p>
  </w:endnote>
  <w:endnote w:type="continuationSeparator" w:id="0">
    <w:p w14:paraId="29159776" w14:textId="77777777" w:rsidR="001E7ED8" w:rsidRDefault="001E7ED8" w:rsidP="007023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2C913D" w14:textId="142F5E2C" w:rsidR="0091354D" w:rsidRDefault="001539CF" w:rsidP="0091354D">
    <w:pPr>
      <w:pStyle w:val="a6"/>
      <w:jc w:val="center"/>
    </w:pPr>
    <w:r>
      <w:rPr>
        <w:noProof/>
        <w:lang w:eastAsia="ru-RU"/>
      </w:rPr>
      <w:drawing>
        <wp:anchor distT="0" distB="0" distL="114300" distR="114300" simplePos="0" relativeHeight="251662336" behindDoc="1" locked="0" layoutInCell="1" allowOverlap="1" wp14:anchorId="1EE91B6A" wp14:editId="56A29045">
          <wp:simplePos x="0" y="0"/>
          <wp:positionH relativeFrom="margin">
            <wp:posOffset>-2287251</wp:posOffset>
          </wp:positionH>
          <wp:positionV relativeFrom="paragraph">
            <wp:posOffset>-3916045</wp:posOffset>
          </wp:positionV>
          <wp:extent cx="3488264" cy="9377899"/>
          <wp:effectExtent l="0" t="0" r="0" b="0"/>
          <wp:wrapNone/>
          <wp:docPr id="44" name="Рисунок 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1354D" w:rsidRPr="00CF1A0E">
      <w:rPr>
        <w:noProof/>
        <w:lang w:eastAsia="ru-RU"/>
      </w:rPr>
      <w:drawing>
        <wp:inline distT="0" distB="0" distL="0" distR="0" wp14:anchorId="2E36A52D" wp14:editId="34658AF9">
          <wp:extent cx="4782098" cy="707366"/>
          <wp:effectExtent l="0" t="0" r="0" b="0"/>
          <wp:docPr id="45" name="Рисунок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74875" cy="7506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B767DE" w14:textId="77777777" w:rsidR="001E7ED8" w:rsidRDefault="001E7ED8" w:rsidP="00702393">
      <w:pPr>
        <w:spacing w:after="0" w:line="240" w:lineRule="auto"/>
      </w:pPr>
      <w:r>
        <w:separator/>
      </w:r>
    </w:p>
  </w:footnote>
  <w:footnote w:type="continuationSeparator" w:id="0">
    <w:p w14:paraId="5FAC6C22" w14:textId="77777777" w:rsidR="001E7ED8" w:rsidRDefault="001E7ED8" w:rsidP="007023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63342E" w14:textId="47BF92BE" w:rsidR="00702393" w:rsidRPr="00017580" w:rsidRDefault="00940023" w:rsidP="005A3B78">
    <w:pPr>
      <w:pStyle w:val="a4"/>
      <w:tabs>
        <w:tab w:val="clear" w:pos="9355"/>
        <w:tab w:val="right" w:pos="9781"/>
      </w:tabs>
      <w:jc w:val="both"/>
    </w:pPr>
    <w:r>
      <w:rPr>
        <w:noProof/>
        <w:lang w:eastAsia="ru-RU"/>
      </w:rPr>
      <w:drawing>
        <wp:anchor distT="0" distB="0" distL="114300" distR="114300" simplePos="0" relativeHeight="251658240" behindDoc="1" locked="0" layoutInCell="1" allowOverlap="1" wp14:anchorId="0720D792" wp14:editId="0066BECF">
          <wp:simplePos x="0" y="0"/>
          <wp:positionH relativeFrom="margin">
            <wp:posOffset>1361440</wp:posOffset>
          </wp:positionH>
          <wp:positionV relativeFrom="paragraph">
            <wp:posOffset>3223268</wp:posOffset>
          </wp:positionV>
          <wp:extent cx="3488264" cy="9377899"/>
          <wp:effectExtent l="0" t="0" r="0" b="0"/>
          <wp:wrapNone/>
          <wp:docPr id="40" name="Рисунок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83357">
      <w:rPr>
        <w:noProof/>
        <w:lang w:eastAsia="ru-RU"/>
      </w:rPr>
      <w:drawing>
        <wp:anchor distT="0" distB="0" distL="114300" distR="114300" simplePos="0" relativeHeight="251656192" behindDoc="1" locked="0" layoutInCell="1" allowOverlap="1" wp14:anchorId="4CD40BCC" wp14:editId="6690AB11">
          <wp:simplePos x="0" y="0"/>
          <wp:positionH relativeFrom="margin">
            <wp:posOffset>4886325</wp:posOffset>
          </wp:positionH>
          <wp:positionV relativeFrom="paragraph">
            <wp:posOffset>743874</wp:posOffset>
          </wp:positionV>
          <wp:extent cx="3488055" cy="9377680"/>
          <wp:effectExtent l="0" t="0" r="0" b="0"/>
          <wp:wrapNone/>
          <wp:docPr id="41" name="Рисунок 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055" cy="9377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17580">
      <w:rPr>
        <w:noProof/>
        <w:lang w:eastAsia="ru-RU"/>
      </w:rPr>
      <w:drawing>
        <wp:inline distT="0" distB="0" distL="0" distR="0" wp14:anchorId="1ED2111A" wp14:editId="1AF78A52">
          <wp:extent cx="2254250" cy="490293"/>
          <wp:effectExtent l="0" t="0" r="0" b="5080"/>
          <wp:docPr id="42" name="Рисунок 4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29490" cy="50665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017580">
      <w:t xml:space="preserve">              </w:t>
    </w:r>
    <w:r w:rsidR="00D02DFB">
      <w:t xml:space="preserve">       </w:t>
    </w:r>
    <w:r w:rsidR="005A3B78">
      <w:t xml:space="preserve">                  </w:t>
    </w:r>
    <w:r w:rsidR="00D02DFB">
      <w:t xml:space="preserve">                        </w:t>
    </w:r>
    <w:r w:rsidR="00083357">
      <w:rPr>
        <w:noProof/>
        <w:lang w:eastAsia="ru-RU"/>
      </w:rPr>
      <w:drawing>
        <wp:inline distT="0" distB="0" distL="0" distR="0" wp14:anchorId="38BCEF49" wp14:editId="4334A5C0">
          <wp:extent cx="1916010" cy="551775"/>
          <wp:effectExtent l="0" t="0" r="0" b="1270"/>
          <wp:docPr id="43" name="Рисунок 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4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56020" cy="64969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D02DFB">
      <w:t xml:space="preserve">     </w:t>
    </w:r>
    <w:r w:rsidR="00193E1B">
      <w:rPr>
        <w:lang w:val="en-US"/>
      </w:rPr>
      <w:t xml:space="preserve">     </w:t>
    </w:r>
    <w:r w:rsidR="006B0A4D">
      <w:rPr>
        <w:lang w:val="en-US"/>
      </w:rPr>
      <w:t xml:space="preserve">              </w:t>
    </w:r>
    <w:r w:rsidR="00D02DFB">
      <w:t xml:space="preserve"> </w:t>
    </w:r>
    <w:r w:rsidR="00017580">
      <w:t xml:space="preserve">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B659E"/>
    <w:rsid w:val="00017580"/>
    <w:rsid w:val="00083357"/>
    <w:rsid w:val="00102D7B"/>
    <w:rsid w:val="00152128"/>
    <w:rsid w:val="001539CF"/>
    <w:rsid w:val="00193E1B"/>
    <w:rsid w:val="001C5801"/>
    <w:rsid w:val="001E7ED8"/>
    <w:rsid w:val="002570B0"/>
    <w:rsid w:val="002A1A72"/>
    <w:rsid w:val="002B659E"/>
    <w:rsid w:val="00315990"/>
    <w:rsid w:val="00327D34"/>
    <w:rsid w:val="00327E86"/>
    <w:rsid w:val="00396063"/>
    <w:rsid w:val="003C77EA"/>
    <w:rsid w:val="003E3623"/>
    <w:rsid w:val="00442855"/>
    <w:rsid w:val="00461793"/>
    <w:rsid w:val="005A3B78"/>
    <w:rsid w:val="006B0A4D"/>
    <w:rsid w:val="006C52F0"/>
    <w:rsid w:val="006E2D0A"/>
    <w:rsid w:val="00702393"/>
    <w:rsid w:val="00722D19"/>
    <w:rsid w:val="008A7236"/>
    <w:rsid w:val="008E7DF6"/>
    <w:rsid w:val="0091354D"/>
    <w:rsid w:val="00940023"/>
    <w:rsid w:val="0094655E"/>
    <w:rsid w:val="009E6904"/>
    <w:rsid w:val="00A23573"/>
    <w:rsid w:val="00A45B15"/>
    <w:rsid w:val="00A81D5F"/>
    <w:rsid w:val="00B31BDB"/>
    <w:rsid w:val="00BD7730"/>
    <w:rsid w:val="00C13FD3"/>
    <w:rsid w:val="00C16D9C"/>
    <w:rsid w:val="00CB275A"/>
    <w:rsid w:val="00CF5BD5"/>
    <w:rsid w:val="00D02DFB"/>
    <w:rsid w:val="00DB660C"/>
    <w:rsid w:val="00EE78AD"/>
    <w:rsid w:val="00F03586"/>
    <w:rsid w:val="00F173BA"/>
    <w:rsid w:val="00F96E54"/>
    <w:rsid w:val="00FB5726"/>
    <w:rsid w:val="00FE6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2F946B71"/>
  <w15:docId w15:val="{1A075201-8F3B-43F2-9EE2-2AE2FCFDF2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023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02393"/>
  </w:style>
  <w:style w:type="paragraph" w:styleId="a6">
    <w:name w:val="footer"/>
    <w:basedOn w:val="a"/>
    <w:link w:val="a7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02393"/>
  </w:style>
  <w:style w:type="paragraph" w:styleId="a8">
    <w:name w:val="Balloon Text"/>
    <w:basedOn w:val="a"/>
    <w:link w:val="a9"/>
    <w:uiPriority w:val="99"/>
    <w:semiHidden/>
    <w:unhideWhenUsed/>
    <w:rsid w:val="00A81D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81D5F"/>
    <w:rPr>
      <w:rFonts w:ascii="Tahoma" w:hAnsi="Tahoma" w:cs="Tahoma"/>
      <w:sz w:val="16"/>
      <w:szCs w:val="16"/>
    </w:rPr>
  </w:style>
  <w:style w:type="character" w:styleId="aa">
    <w:name w:val="Hyperlink"/>
    <w:basedOn w:val="a0"/>
    <w:uiPriority w:val="99"/>
    <w:unhideWhenUsed/>
    <w:rsid w:val="00FB5726"/>
    <w:rPr>
      <w:color w:val="0563C1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FB572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ok.ru/profile/576689877171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zakonpravo.kz/publikacii/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emf"/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2</Pages>
  <Words>579</Words>
  <Characters>3303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Юридическая_контора Закон_и_право</dc:creator>
  <cp:keywords/>
  <dc:description/>
  <cp:lastModifiedBy>Юридическая_контора Закон_и_право</cp:lastModifiedBy>
  <cp:revision>35</cp:revision>
  <cp:lastPrinted>2021-08-17T09:04:00Z</cp:lastPrinted>
  <dcterms:created xsi:type="dcterms:W3CDTF">2021-08-13T09:00:00Z</dcterms:created>
  <dcterms:modified xsi:type="dcterms:W3CDTF">2021-10-15T16:30:00Z</dcterms:modified>
</cp:coreProperties>
</file>