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320CA380" w:rsidR="00F173BA" w:rsidRPr="00A118EA" w:rsidRDefault="00A118EA" w:rsidP="00A118EA">
      <w:pPr>
        <w:jc w:val="center"/>
        <w:rPr>
          <w:rFonts w:ascii="Times New Roman" w:hAnsi="Times New Roman" w:cs="Times New Roman"/>
          <w:b/>
          <w:bCs/>
          <w:sz w:val="24"/>
          <w:szCs w:val="24"/>
        </w:rPr>
      </w:pPr>
      <w:r w:rsidRPr="00A118EA">
        <w:rPr>
          <w:rFonts w:ascii="Times New Roman" w:hAnsi="Times New Roman" w:cs="Times New Roman"/>
          <w:b/>
          <w:bCs/>
          <w:sz w:val="24"/>
          <w:szCs w:val="24"/>
          <w:lang w:val="kk-KZ"/>
        </w:rPr>
        <w:t>Н</w:t>
      </w:r>
      <w:proofErr w:type="spellStart"/>
      <w:r w:rsidRPr="00A118EA">
        <w:rPr>
          <w:rFonts w:ascii="Times New Roman" w:hAnsi="Times New Roman" w:cs="Times New Roman"/>
          <w:b/>
          <w:bCs/>
          <w:sz w:val="24"/>
          <w:szCs w:val="24"/>
        </w:rPr>
        <w:t>еоднократно</w:t>
      </w:r>
      <w:proofErr w:type="spellEnd"/>
      <w:r w:rsidRPr="00A118EA">
        <w:rPr>
          <w:rFonts w:ascii="Times New Roman" w:hAnsi="Times New Roman" w:cs="Times New Roman"/>
          <w:b/>
          <w:bCs/>
          <w:sz w:val="24"/>
          <w:szCs w:val="24"/>
          <w:lang w:val="kk-KZ"/>
        </w:rPr>
        <w:t>е</w:t>
      </w:r>
      <w:r w:rsidRPr="00A118EA">
        <w:rPr>
          <w:rFonts w:ascii="Times New Roman" w:hAnsi="Times New Roman" w:cs="Times New Roman"/>
          <w:b/>
          <w:bCs/>
          <w:sz w:val="24"/>
          <w:szCs w:val="24"/>
        </w:rPr>
        <w:t xml:space="preserve"> тайно</w:t>
      </w:r>
      <w:r w:rsidRPr="00A118EA">
        <w:rPr>
          <w:rFonts w:ascii="Times New Roman" w:hAnsi="Times New Roman" w:cs="Times New Roman"/>
          <w:b/>
          <w:bCs/>
          <w:sz w:val="24"/>
          <w:szCs w:val="24"/>
          <w:lang w:val="kk-KZ"/>
        </w:rPr>
        <w:t>е</w:t>
      </w:r>
      <w:r w:rsidRPr="00A118EA">
        <w:rPr>
          <w:rFonts w:ascii="Times New Roman" w:hAnsi="Times New Roman" w:cs="Times New Roman"/>
          <w:b/>
          <w:bCs/>
          <w:sz w:val="24"/>
          <w:szCs w:val="24"/>
        </w:rPr>
        <w:t xml:space="preserve"> </w:t>
      </w:r>
      <w:proofErr w:type="spellStart"/>
      <w:r w:rsidRPr="00A118EA">
        <w:rPr>
          <w:rFonts w:ascii="Times New Roman" w:hAnsi="Times New Roman" w:cs="Times New Roman"/>
          <w:b/>
          <w:bCs/>
          <w:sz w:val="24"/>
          <w:szCs w:val="24"/>
        </w:rPr>
        <w:t>хищени</w:t>
      </w:r>
      <w:proofErr w:type="spellEnd"/>
      <w:r w:rsidRPr="00A118EA">
        <w:rPr>
          <w:rFonts w:ascii="Times New Roman" w:hAnsi="Times New Roman" w:cs="Times New Roman"/>
          <w:b/>
          <w:bCs/>
          <w:sz w:val="24"/>
          <w:szCs w:val="24"/>
          <w:lang w:val="kk-KZ"/>
        </w:rPr>
        <w:t>е</w:t>
      </w:r>
      <w:r w:rsidRPr="00A118EA">
        <w:rPr>
          <w:rFonts w:ascii="Times New Roman" w:hAnsi="Times New Roman" w:cs="Times New Roman"/>
          <w:b/>
          <w:bCs/>
          <w:sz w:val="24"/>
          <w:szCs w:val="24"/>
        </w:rPr>
        <w:t xml:space="preserve"> чужого имущества с проникновением в помещение</w:t>
      </w:r>
    </w:p>
    <w:p w14:paraId="1B7E57A4"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Приговором </w:t>
      </w:r>
      <w:proofErr w:type="spellStart"/>
      <w:r w:rsidRPr="000104CE">
        <w:rPr>
          <w:rFonts w:ascii="Times New Roman" w:hAnsi="Times New Roman" w:cs="Times New Roman"/>
          <w:sz w:val="24"/>
          <w:szCs w:val="24"/>
        </w:rPr>
        <w:t>Кокшетауского</w:t>
      </w:r>
      <w:proofErr w:type="spellEnd"/>
      <w:r w:rsidRPr="000104CE">
        <w:rPr>
          <w:rFonts w:ascii="Times New Roman" w:hAnsi="Times New Roman" w:cs="Times New Roman"/>
          <w:sz w:val="24"/>
          <w:szCs w:val="24"/>
        </w:rPr>
        <w:t xml:space="preserve"> городского суда Акмолинской области от 10 июня 2019 года С., ранее не судимый, осужден по пункту 2) части 3 статьи 188 Уголовного кодекса Республики Казахстан (далее – УК) к 3 годам лишения свободы с отбыванием наказания в учреждении </w:t>
      </w:r>
      <w:proofErr w:type="spellStart"/>
      <w:r w:rsidRPr="000104CE">
        <w:rPr>
          <w:rFonts w:ascii="Times New Roman" w:hAnsi="Times New Roman" w:cs="Times New Roman"/>
          <w:sz w:val="24"/>
          <w:szCs w:val="24"/>
        </w:rPr>
        <w:t>уголовноисполнительной</w:t>
      </w:r>
      <w:proofErr w:type="spellEnd"/>
      <w:r w:rsidRPr="000104CE">
        <w:rPr>
          <w:rFonts w:ascii="Times New Roman" w:hAnsi="Times New Roman" w:cs="Times New Roman"/>
          <w:sz w:val="24"/>
          <w:szCs w:val="24"/>
        </w:rPr>
        <w:t xml:space="preserve"> системы средней безопасности. </w:t>
      </w:r>
    </w:p>
    <w:p w14:paraId="4523C9AC"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Судом С. признан виновным в неоднократном тайном хищении чужого имущества с проникновением в помещение. Постановлением судебной коллегии по уголовным делам Акмолинского областного суда от 24 июля 2019 года приговор в отношении С. изменен. Его действия по эпизодам краж имущества ИП «Т» переквалифицированы с пункта 2) части 3 статьи 188 УК на часть 2 статьи 187 УК и назначен штраф в размере 100 месячных расчетных показателей. На основании части 3 статьи 58 УК путем поглощения менее строгого наказания более строгим окончательно назначено 3 года лишения свободы. В протесте </w:t>
      </w:r>
      <w:proofErr w:type="spellStart"/>
      <w:r w:rsidRPr="000104CE">
        <w:rPr>
          <w:rFonts w:ascii="Times New Roman" w:hAnsi="Times New Roman" w:cs="Times New Roman"/>
          <w:sz w:val="24"/>
          <w:szCs w:val="24"/>
        </w:rPr>
        <w:t>и.о</w:t>
      </w:r>
      <w:proofErr w:type="spellEnd"/>
      <w:r w:rsidRPr="000104CE">
        <w:rPr>
          <w:rFonts w:ascii="Times New Roman" w:hAnsi="Times New Roman" w:cs="Times New Roman"/>
          <w:sz w:val="24"/>
          <w:szCs w:val="24"/>
        </w:rPr>
        <w:t xml:space="preserve">. Генерального Прокурора просит постановление апелляционной инстанции отменить ввиду неправильного применения уголовного закона, повлекшего необоснованную переквалификацию действий С. на менее тяжкую статью. Изучив материалы дела, доводы протеста, выслушав прокурора, просившего протест удовлетворить, судебная коллегия считает, что постановление апелляционной инстанции подлежит изменению по следующим основаниям. </w:t>
      </w:r>
    </w:p>
    <w:p w14:paraId="5FC6AE2B" w14:textId="6B88BAD2"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Судом первой инстанции С. признан виновным в совершении семи эпизодов краж чужого имущества с проникновением в помещения. В том числе 16 февраля 2019 года С., незаконно проник в магазин «А» и совершил кражу имущества на сумму 9 515 тенге, причинив ущерб ИП «Т» на сумму 9 515 тенге. 14 марта 2019 года С. вновь незаконно проник в магазин «А» и совершил кражу имущества на сумму 6 050 тенге, причинив ущерб ИП «Т» на сумму 6 050 тенге. Суд первой инстанции действия С. квалифицировал по пункту 2) части 3 статьи 188 УК. Постановлением апелляционной инстанции действия С. по эпизодам краж имущества ИП «Т» переквалифицированы на часть 2 статьи 187 УК – мелкое хищение, совершённое неоднократно. </w:t>
      </w:r>
      <w:hyperlink r:id="rId6" w:history="1">
        <w:r w:rsidRPr="0001079A">
          <w:rPr>
            <w:rStyle w:val="aa"/>
            <w:rFonts w:ascii="Times New Roman" w:hAnsi="Times New Roman" w:cs="Times New Roman"/>
            <w:sz w:val="24"/>
            <w:szCs w:val="24"/>
          </w:rPr>
          <w:t>Свое решение о переквалификации судебная коллегия</w:t>
        </w:r>
      </w:hyperlink>
      <w:r w:rsidRPr="000104CE">
        <w:rPr>
          <w:rFonts w:ascii="Times New Roman" w:hAnsi="Times New Roman" w:cs="Times New Roman"/>
          <w:sz w:val="24"/>
          <w:szCs w:val="24"/>
        </w:rPr>
        <w:t xml:space="preserve"> мотивировала тем, что индивидуальный предприниматель Т. имеет банковский расчетный счет и иные реквизиты, необходимые для осуществления им предпринимательской деятельности. </w:t>
      </w:r>
    </w:p>
    <w:p w14:paraId="02699586"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В этой связи С. причинен ущерб не физическому лицу, а организации, </w:t>
      </w:r>
      <w:proofErr w:type="gramStart"/>
      <w:r w:rsidRPr="000104CE">
        <w:rPr>
          <w:rFonts w:ascii="Times New Roman" w:hAnsi="Times New Roman" w:cs="Times New Roman"/>
          <w:sz w:val="24"/>
          <w:szCs w:val="24"/>
        </w:rPr>
        <w:t>т.е.</w:t>
      </w:r>
      <w:proofErr w:type="gramEnd"/>
      <w:r w:rsidRPr="000104CE">
        <w:rPr>
          <w:rFonts w:ascii="Times New Roman" w:hAnsi="Times New Roman" w:cs="Times New Roman"/>
          <w:sz w:val="24"/>
          <w:szCs w:val="24"/>
        </w:rPr>
        <w:t xml:space="preserve"> юридическому лицу в размерах 9 515 и 6 050 тенге, что является незначительным размером, т.к. стоимость имущества не превышает 10 МРП. Судебная коллегия считает, что выводы суда апелляционной инстанции в этой части являются необоснованными. В соответствии с частью 1 статьи 19 Гражданского кодекса Республики Казахстан (далее – ГК) граждане вправе заниматься предпринимательской деятельностью без образования юридического лица, за исключением случаев, предусмотренных ГК и иными законодательными актами. В части 3 статьи 19 ГК указано, что к предпринимательской деятельности граждан, осуществляемой без образования юридического лица, соответственно применяются правила ГК, которые регулируют деятельность юридических лиц, являющихся коммерческими организациями, если иное не вытекает из законодательства или существа правоотношения. </w:t>
      </w:r>
    </w:p>
    <w:p w14:paraId="58755F7A"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Согласно части 1 статьи 2 Предпринимательского кодекса Республики Казахстан под предпринимательством понимается самостоятельная, инициативная деятельность граждан и юридических лиц, направленная на получение чистого дохода путем использования имущества, производства, продажи товаров, выполнения работ, оказания услуг, основанная на праве частной собственности (частное предпринимательство) либо на праве хозяйственного ведения или оперативного управления государственного предприятия (государственное </w:t>
      </w:r>
      <w:r w:rsidRPr="000104CE">
        <w:rPr>
          <w:rFonts w:ascii="Times New Roman" w:hAnsi="Times New Roman" w:cs="Times New Roman"/>
          <w:sz w:val="24"/>
          <w:szCs w:val="24"/>
        </w:rPr>
        <w:lastRenderedPageBreak/>
        <w:t xml:space="preserve">предпринимательство). Предпринимательская деятельность осуществляется от имени, за риск и под имущественную ответственность предпринимателя. </w:t>
      </w:r>
    </w:p>
    <w:p w14:paraId="13D523BF"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Субъектами предпринимательства в соответствии с частью 1 статьи 23 Предпринимательского кодекса являются граждане и негосударственные коммерческие юридические лица, осуществляющие предпринимательскую деятельность (субъекты частного предпринимательства), государственные предприятия (субъекты государственного предпринимательства). Из этого следует, что граждане являются самостоятельными субъектами предпринимательства и государством им предоставлено право осуществлять предпринимательскую деятельность, основанную на праве их частной собственности, без образования юридического лица. Таким образом, апелляционная инстанция незаконно приравняла индивидуального предпринимателя к негосударственной коммерческой организации и действия С. по эпизодам краж имущества ИП «Т» необоснованно переквалифицировала с пункта 2) части 3 статьи 188 УК на часть 2 статьи 187 УК. </w:t>
      </w:r>
    </w:p>
    <w:p w14:paraId="26E24592" w14:textId="77777777" w:rsid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При таких обстоятельствах судебная коллегия сочла необходимым постановление судебной коллегии по уголовным делам Акмолинского областного суда в отношении С. изменить, отменить в части переквалификации его действий на часть 2 статьи 187 УК, а также применение части 3 статьи 58 УК. На основании изложенного судебная коллегия по уголовным делам Верховного Суда изменила постановление апелляционной инстанции в отношении С.: отменила в части переквалификации его действий с пункта 2) части 3 статьи 188 УК на часть 2 статьи 187 УК, отменила применение части 3 статьи 58 УК, в остальной же части решение оставила без изменения. </w:t>
      </w:r>
    </w:p>
    <w:p w14:paraId="1B37CD4F" w14:textId="7FE401B6" w:rsidR="00E44216" w:rsidRPr="000104CE" w:rsidRDefault="00E44216" w:rsidP="000104CE">
      <w:pPr>
        <w:ind w:firstLine="720"/>
        <w:jc w:val="both"/>
        <w:rPr>
          <w:rFonts w:ascii="Times New Roman" w:hAnsi="Times New Roman" w:cs="Times New Roman"/>
          <w:sz w:val="24"/>
          <w:szCs w:val="24"/>
        </w:rPr>
      </w:pPr>
      <w:r w:rsidRPr="000104CE">
        <w:rPr>
          <w:rFonts w:ascii="Times New Roman" w:hAnsi="Times New Roman" w:cs="Times New Roman"/>
          <w:sz w:val="24"/>
          <w:szCs w:val="24"/>
        </w:rPr>
        <w:t xml:space="preserve">Приговор первой инстанции в отношении С. также был изменен. На основании пункта 2) части 3 статьи 62 УК время содержания С. под стражей до вступления приговора в законную силу с 17 марта по 24 июля 2019 года </w:t>
      </w:r>
      <w:hyperlink r:id="rId7" w:history="1">
        <w:r w:rsidRPr="0001079A">
          <w:rPr>
            <w:rStyle w:val="aa"/>
            <w:rFonts w:ascii="Times New Roman" w:hAnsi="Times New Roman" w:cs="Times New Roman"/>
            <w:sz w:val="24"/>
            <w:szCs w:val="24"/>
          </w:rPr>
          <w:t>было засчитано в срок отбытого наказания из</w:t>
        </w:r>
      </w:hyperlink>
      <w:r w:rsidRPr="000104CE">
        <w:rPr>
          <w:rFonts w:ascii="Times New Roman" w:hAnsi="Times New Roman" w:cs="Times New Roman"/>
          <w:sz w:val="24"/>
          <w:szCs w:val="24"/>
        </w:rPr>
        <w:t xml:space="preserve"> расчёта один день содержания под стражей за полтора дня лишения свободы. Протест </w:t>
      </w:r>
      <w:proofErr w:type="spellStart"/>
      <w:r w:rsidRPr="000104CE">
        <w:rPr>
          <w:rFonts w:ascii="Times New Roman" w:hAnsi="Times New Roman" w:cs="Times New Roman"/>
          <w:sz w:val="24"/>
          <w:szCs w:val="24"/>
        </w:rPr>
        <w:t>и.о</w:t>
      </w:r>
      <w:proofErr w:type="spellEnd"/>
      <w:r w:rsidRPr="000104CE">
        <w:rPr>
          <w:rFonts w:ascii="Times New Roman" w:hAnsi="Times New Roman" w:cs="Times New Roman"/>
          <w:sz w:val="24"/>
          <w:szCs w:val="24"/>
        </w:rPr>
        <w:t>. Генерального Прокурора Республики Казахстан удовлетворен.</w:t>
      </w:r>
    </w:p>
    <w:p w14:paraId="1C113091" w14:textId="5A80DFE0" w:rsidR="00F173BA" w:rsidRPr="000104CE" w:rsidRDefault="00F173BA" w:rsidP="000104CE">
      <w:pPr>
        <w:jc w:val="both"/>
        <w:rPr>
          <w:rFonts w:ascii="Times New Roman" w:hAnsi="Times New Roman" w:cs="Times New Roman"/>
          <w:sz w:val="24"/>
          <w:szCs w:val="24"/>
        </w:rPr>
      </w:pPr>
    </w:p>
    <w:p w14:paraId="1D196CDE" w14:textId="737247FA" w:rsidR="00F173BA" w:rsidRPr="000104CE" w:rsidRDefault="00F173BA" w:rsidP="000104CE">
      <w:pPr>
        <w:jc w:val="both"/>
        <w:rPr>
          <w:rFonts w:ascii="Times New Roman" w:hAnsi="Times New Roman" w:cs="Times New Roman"/>
          <w:sz w:val="24"/>
          <w:szCs w:val="24"/>
        </w:rPr>
      </w:pPr>
    </w:p>
    <w:p w14:paraId="02403F08" w14:textId="75BEB719" w:rsidR="00F173BA" w:rsidRPr="000104CE" w:rsidRDefault="00F173BA" w:rsidP="000104CE">
      <w:pPr>
        <w:jc w:val="both"/>
        <w:rPr>
          <w:rFonts w:ascii="Times New Roman" w:hAnsi="Times New Roman" w:cs="Times New Roman"/>
          <w:sz w:val="24"/>
          <w:szCs w:val="24"/>
        </w:rPr>
      </w:pPr>
    </w:p>
    <w:p w14:paraId="308325D5" w14:textId="324F2E94" w:rsidR="00F173BA" w:rsidRPr="000104CE" w:rsidRDefault="00F173BA" w:rsidP="000104CE">
      <w:pPr>
        <w:jc w:val="both"/>
        <w:rPr>
          <w:rFonts w:ascii="Times New Roman" w:hAnsi="Times New Roman" w:cs="Times New Roman"/>
          <w:sz w:val="24"/>
          <w:szCs w:val="24"/>
        </w:rPr>
      </w:pPr>
    </w:p>
    <w:p w14:paraId="22BAA135" w14:textId="6CC745FE" w:rsidR="00F173BA" w:rsidRPr="000104CE" w:rsidRDefault="00F173BA" w:rsidP="000104CE">
      <w:pPr>
        <w:jc w:val="both"/>
        <w:rPr>
          <w:rFonts w:ascii="Times New Roman" w:hAnsi="Times New Roman" w:cs="Times New Roman"/>
          <w:sz w:val="24"/>
          <w:szCs w:val="24"/>
        </w:rPr>
      </w:pPr>
    </w:p>
    <w:p w14:paraId="33D51603" w14:textId="10BA4AEF" w:rsidR="00F173BA" w:rsidRPr="000104CE" w:rsidRDefault="00F173BA" w:rsidP="000104CE">
      <w:pPr>
        <w:jc w:val="both"/>
        <w:rPr>
          <w:rFonts w:ascii="Times New Roman" w:hAnsi="Times New Roman" w:cs="Times New Roman"/>
          <w:sz w:val="24"/>
          <w:szCs w:val="24"/>
        </w:rPr>
      </w:pPr>
    </w:p>
    <w:p w14:paraId="55D95E22" w14:textId="0EFD17BF" w:rsidR="00F173BA" w:rsidRPr="000104CE" w:rsidRDefault="00F173BA" w:rsidP="000104CE">
      <w:pPr>
        <w:jc w:val="both"/>
        <w:rPr>
          <w:rFonts w:ascii="Times New Roman" w:hAnsi="Times New Roman" w:cs="Times New Roman"/>
          <w:sz w:val="24"/>
          <w:szCs w:val="24"/>
        </w:rPr>
      </w:pPr>
    </w:p>
    <w:p w14:paraId="1E84A240" w14:textId="61513D00" w:rsidR="00F173BA" w:rsidRPr="000104CE" w:rsidRDefault="00F173BA" w:rsidP="000104CE">
      <w:pPr>
        <w:jc w:val="both"/>
        <w:rPr>
          <w:rFonts w:ascii="Times New Roman" w:hAnsi="Times New Roman" w:cs="Times New Roman"/>
          <w:sz w:val="24"/>
          <w:szCs w:val="24"/>
        </w:rPr>
      </w:pPr>
    </w:p>
    <w:p w14:paraId="049E1B58" w14:textId="408BB97D" w:rsidR="00F173BA" w:rsidRPr="000104CE" w:rsidRDefault="00F173BA" w:rsidP="000104CE">
      <w:pPr>
        <w:jc w:val="both"/>
        <w:rPr>
          <w:rFonts w:ascii="Times New Roman" w:hAnsi="Times New Roman" w:cs="Times New Roman"/>
          <w:sz w:val="24"/>
          <w:szCs w:val="24"/>
        </w:rPr>
      </w:pPr>
    </w:p>
    <w:p w14:paraId="3F19C72F" w14:textId="49CAEBA5" w:rsidR="00F173BA" w:rsidRPr="000104CE" w:rsidRDefault="00F173BA" w:rsidP="000104CE">
      <w:pPr>
        <w:tabs>
          <w:tab w:val="left" w:pos="6948"/>
        </w:tabs>
        <w:jc w:val="both"/>
        <w:rPr>
          <w:rFonts w:ascii="Times New Roman" w:hAnsi="Times New Roman" w:cs="Times New Roman"/>
          <w:sz w:val="24"/>
          <w:szCs w:val="24"/>
        </w:rPr>
      </w:pPr>
      <w:r w:rsidRPr="000104CE">
        <w:rPr>
          <w:rFonts w:ascii="Times New Roman" w:hAnsi="Times New Roman" w:cs="Times New Roman"/>
          <w:sz w:val="24"/>
          <w:szCs w:val="24"/>
        </w:rPr>
        <w:tab/>
      </w:r>
    </w:p>
    <w:sectPr w:rsidR="00F173BA" w:rsidRPr="000104CE"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85C05" w14:textId="77777777" w:rsidR="00D45DB2" w:rsidRDefault="00D45DB2" w:rsidP="00702393">
      <w:pPr>
        <w:spacing w:after="0" w:line="240" w:lineRule="auto"/>
      </w:pPr>
      <w:r>
        <w:separator/>
      </w:r>
    </w:p>
  </w:endnote>
  <w:endnote w:type="continuationSeparator" w:id="0">
    <w:p w14:paraId="15E53765" w14:textId="77777777" w:rsidR="00D45DB2" w:rsidRDefault="00D45DB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6607" w14:textId="77777777" w:rsidR="00D45DB2" w:rsidRDefault="00D45DB2" w:rsidP="00702393">
      <w:pPr>
        <w:spacing w:after="0" w:line="240" w:lineRule="auto"/>
      </w:pPr>
      <w:r>
        <w:separator/>
      </w:r>
    </w:p>
  </w:footnote>
  <w:footnote w:type="continuationSeparator" w:id="0">
    <w:p w14:paraId="105072FC" w14:textId="77777777" w:rsidR="00D45DB2" w:rsidRDefault="00D45DB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04CE"/>
    <w:rsid w:val="0001079A"/>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E6904"/>
    <w:rsid w:val="00A118EA"/>
    <w:rsid w:val="00A23573"/>
    <w:rsid w:val="00A45B15"/>
    <w:rsid w:val="00A81D5F"/>
    <w:rsid w:val="00AF42DC"/>
    <w:rsid w:val="00B31BDB"/>
    <w:rsid w:val="00BD7730"/>
    <w:rsid w:val="00C16D9C"/>
    <w:rsid w:val="00CB275A"/>
    <w:rsid w:val="00CF5BD5"/>
    <w:rsid w:val="00D02DFB"/>
    <w:rsid w:val="00D45DB2"/>
    <w:rsid w:val="00DB660C"/>
    <w:rsid w:val="00E44216"/>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1079A"/>
    <w:rPr>
      <w:color w:val="0563C1" w:themeColor="hyperlink"/>
      <w:u w:val="single"/>
    </w:rPr>
  </w:style>
  <w:style w:type="character" w:styleId="ab">
    <w:name w:val="Unresolved Mention"/>
    <w:basedOn w:val="a0"/>
    <w:uiPriority w:val="99"/>
    <w:semiHidden/>
    <w:unhideWhenUsed/>
    <w:rsid w:val="00010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874</Words>
  <Characters>4985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2021-12-06T16:54:00Z</dcterms:modified>
</cp:coreProperties>
</file>