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640F" w14:textId="77777777" w:rsidR="00FD5A27" w:rsidRPr="002C37B8" w:rsidRDefault="00FD5A27" w:rsidP="00FD5A27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27926366" w14:textId="77777777" w:rsidR="00FD5A27" w:rsidRPr="002C37B8" w:rsidRDefault="00FD5A27" w:rsidP="00FD5A27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Судье </w:t>
      </w:r>
      <w:r>
        <w:rPr>
          <w:rFonts w:ascii="Times New Roman" w:hAnsi="Times New Roman"/>
          <w:b/>
          <w:sz w:val="28"/>
          <w:szCs w:val="28"/>
          <w:lang w:val="kk-KZ"/>
        </w:rPr>
        <w:t>Алехиной Н.П.</w:t>
      </w:r>
    </w:p>
    <w:p w14:paraId="35FC12A0" w14:textId="77777777" w:rsidR="00FD5A27" w:rsidRPr="002C37B8" w:rsidRDefault="00FD5A27" w:rsidP="00FD5A27">
      <w:pPr>
        <w:pStyle w:val="ae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22636469" w14:textId="77777777" w:rsidR="00FD5A27" w:rsidRPr="002C37B8" w:rsidRDefault="00FD5A27" w:rsidP="00FD5A27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ВКО. г. Усть-Каменогорск, ул. им. Шакарима, 60.</w:t>
      </w:r>
    </w:p>
    <w:p w14:paraId="5A0FD347" w14:textId="77777777" w:rsidR="00FD5A27" w:rsidRPr="002C37B8" w:rsidRDefault="00FD5A27" w:rsidP="00FD5A27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Тел. +7-705-569-46-83, 8 /7232/ 75-21-71.</w:t>
      </w:r>
    </w:p>
    <w:p w14:paraId="2C294168" w14:textId="77777777" w:rsidR="00FD5A27" w:rsidRPr="00B125DD" w:rsidRDefault="00FD5A27" w:rsidP="00FD5A27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E-mail: 160202@sud.kz</w:t>
      </w:r>
    </w:p>
    <w:p w14:paraId="45BEFADD" w14:textId="77777777" w:rsidR="00FD5A27" w:rsidRDefault="00FD5A27" w:rsidP="00FD5A27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AAAC015" w14:textId="521561E4" w:rsidR="00FD5A27" w:rsidRPr="00E509DC" w:rsidRDefault="00FD5A27" w:rsidP="00FD5A27">
      <w:pPr>
        <w:pStyle w:val="ae"/>
        <w:ind w:left="4962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От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представителя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C25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</w:p>
    <w:p w14:paraId="1397D0A1" w14:textId="7DCD246E" w:rsidR="00FD5A27" w:rsidRPr="00E509DC" w:rsidRDefault="00FD5A27" w:rsidP="00FD5A27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 w:rsidRPr="00E509DC">
        <w:rPr>
          <w:sz w:val="28"/>
          <w:szCs w:val="28"/>
        </w:rPr>
        <w:t xml:space="preserve">А А О, </w:t>
      </w:r>
    </w:p>
    <w:p w14:paraId="422B72A6" w14:textId="77777777" w:rsidR="00FD5A27" w:rsidRPr="005C25AF" w:rsidRDefault="00FD5A27" w:rsidP="00FD5A27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sz w:val="10"/>
          <w:szCs w:val="10"/>
        </w:rPr>
      </w:pPr>
    </w:p>
    <w:p w14:paraId="17DA330F" w14:textId="17A1712A" w:rsidR="00FD5A27" w:rsidRPr="005C25AF" w:rsidRDefault="00FD5A27" w:rsidP="00FD5A27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5C25AF">
        <w:rPr>
          <w:i/>
          <w:iCs/>
          <w:sz w:val="20"/>
          <w:szCs w:val="20"/>
        </w:rPr>
        <w:t>г. Астана, район А, ул. К Д, 18/1-2</w:t>
      </w:r>
      <w:r>
        <w:rPr>
          <w:i/>
          <w:iCs/>
          <w:sz w:val="20"/>
          <w:szCs w:val="20"/>
          <w:lang w:val="kk-KZ"/>
        </w:rPr>
        <w:t>0</w:t>
      </w:r>
      <w:r w:rsidRPr="005C25AF">
        <w:rPr>
          <w:i/>
          <w:iCs/>
          <w:sz w:val="20"/>
          <w:szCs w:val="20"/>
        </w:rPr>
        <w:t xml:space="preserve">1. </w:t>
      </w:r>
    </w:p>
    <w:p w14:paraId="28E57761" w14:textId="50FA7112" w:rsidR="00FD5A27" w:rsidRPr="006337CB" w:rsidRDefault="00FD5A27" w:rsidP="00FD5A27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C943A6">
        <w:rPr>
          <w:i/>
          <w:iCs/>
          <w:sz w:val="20"/>
          <w:szCs w:val="20"/>
        </w:rPr>
        <w:t>Тел</w:t>
      </w:r>
      <w:r w:rsidRPr="006337CB">
        <w:rPr>
          <w:i/>
          <w:iCs/>
          <w:sz w:val="20"/>
          <w:szCs w:val="20"/>
        </w:rPr>
        <w:t>. +</w:t>
      </w:r>
    </w:p>
    <w:p w14:paraId="06218F2C" w14:textId="32D09D6D" w:rsidR="00FD5A27" w:rsidRPr="006337CB" w:rsidRDefault="00FD5A27" w:rsidP="00FD5A27">
      <w:pPr>
        <w:pStyle w:val="ad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6337CB">
        <w:rPr>
          <w:i/>
          <w:iCs/>
          <w:sz w:val="20"/>
          <w:szCs w:val="20"/>
        </w:rPr>
        <w:t>: +7-707-.</w:t>
      </w:r>
    </w:p>
    <w:p w14:paraId="141E1E57" w14:textId="5412ED21" w:rsidR="00FD5A27" w:rsidRDefault="00FD5A27" w:rsidP="00FD5A27">
      <w:pPr>
        <w:tabs>
          <w:tab w:val="left" w:pos="4395"/>
          <w:tab w:val="left" w:pos="4536"/>
          <w:tab w:val="left" w:pos="4820"/>
        </w:tabs>
        <w:ind w:left="4962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6337CB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6337CB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</w:p>
    <w:p w14:paraId="64E4FBD0" w14:textId="77777777" w:rsidR="00E64343" w:rsidRDefault="00E64343" w:rsidP="00FD5A27">
      <w:pPr>
        <w:tabs>
          <w:tab w:val="left" w:pos="4395"/>
          <w:tab w:val="left" w:pos="4536"/>
          <w:tab w:val="left" w:pos="4820"/>
        </w:tabs>
        <w:ind w:left="4962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p w14:paraId="10993AEF" w14:textId="77777777" w:rsidR="00E64343" w:rsidRPr="00E64343" w:rsidRDefault="00E64343" w:rsidP="00FD5A27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sz w:val="28"/>
          <w:szCs w:val="28"/>
          <w:lang w:val="kk-KZ"/>
        </w:rPr>
      </w:pPr>
    </w:p>
    <w:p w14:paraId="627E99A3" w14:textId="41E67CD2" w:rsidR="00FD5A27" w:rsidRPr="00E509DC" w:rsidRDefault="00FD5A27" w:rsidP="00FD5A27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14:paraId="2DD8FE99" w14:textId="77777777" w:rsidR="00FD5A27" w:rsidRPr="00E509DC" w:rsidRDefault="00FD5A27" w:rsidP="00FD5A27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ABFB23" w14:textId="3B9175F4" w:rsidR="00FD5A27" w:rsidRPr="00530227" w:rsidRDefault="00FD5A27" w:rsidP="00FD5A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Вашем производстве рассматривается исковое заявление 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ТОО «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  <w:lang w:val="en-US"/>
        </w:rPr>
        <w:t>C</w:t>
      </w:r>
      <w:r w:rsidR="00E64343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..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.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  <w:lang w:val="en-US"/>
        </w:rPr>
        <w:t>kz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» к </w:t>
      </w:r>
      <w:r w:rsidRPr="005302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ТОО 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«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  <w:lang w:val="en-US"/>
        </w:rPr>
        <w:t>I</w:t>
      </w:r>
      <w:r w:rsidR="00E64343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  <w:lang w:val="en-US"/>
        </w:rPr>
        <w:t>P</w:t>
      </w:r>
      <w:r w:rsidR="00E64343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..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» о возмещении причиненного материального ущерба. </w:t>
      </w:r>
    </w:p>
    <w:p w14:paraId="684F4139" w14:textId="77777777" w:rsidR="00984E69" w:rsidRPr="00530227" w:rsidRDefault="00FD5A27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В рамках данного дело Вами было назначено судебная строительно-техническая и строительно-экономическая экспертиза.</w:t>
      </w:r>
    </w:p>
    <w:p w14:paraId="1EDB4129" w14:textId="0983D50F" w:rsidR="00984E69" w:rsidRPr="00530227" w:rsidRDefault="00984E69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В связи с этим суд поступило заключение эксперта №59 от 09 июня 2025 года выполненного Учреждением «Восточно-Казахстанская независимая судебная экспертиза». </w:t>
      </w:r>
    </w:p>
    <w:p w14:paraId="4C5F9022" w14:textId="6935EB84" w:rsidR="00015603" w:rsidRPr="00530227" w:rsidRDefault="00984E69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В результате глубокого и комплексного исследования заключения нами были выявлены отклонения от фактических данных и обстоятельств, который нарушает принципы Верховенства отправления правосудия, а также принципы справедливости и законности. Отклонения от фактических данных выражается в следующем:</w:t>
      </w:r>
    </w:p>
    <w:p w14:paraId="49516F30" w14:textId="4CAF6BB2" w:rsidR="00984E69" w:rsidRPr="00530227" w:rsidRDefault="00984E69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Во-первых, Таблица – 1 и Таблица – 2 являются прототипом Акта обследования объекта от 25 ноября 2024 года составленного Истцом в одностороннем порядке, без приглашения другой стороны. Использование данного документа противоречит принципам состязательности, справедливости и законности. Это обусловлено тем, что Акты обследования </w:t>
      </w:r>
      <w:r w:rsidR="00A47D72" w:rsidRPr="00530227">
        <w:rPr>
          <w:rFonts w:ascii="Times New Roman" w:hAnsi="Times New Roman"/>
          <w:color w:val="000000"/>
          <w:spacing w:val="1"/>
          <w:sz w:val="26"/>
          <w:szCs w:val="26"/>
        </w:rPr>
        <w:t>объекта,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составленные в одностороннем порядке без приглашения другой заинтересованной стороны и по истечении около двух лет с даты подписания Актов выполненных работ по всем трем договорам</w:t>
      </w:r>
      <w:r w:rsidR="00A47D72" w:rsidRPr="00530227">
        <w:rPr>
          <w:rFonts w:ascii="Times New Roman" w:hAnsi="Times New Roman"/>
          <w:color w:val="000000"/>
          <w:spacing w:val="1"/>
          <w:sz w:val="26"/>
          <w:szCs w:val="26"/>
        </w:rPr>
        <w:t>, являются недопустимыми доказательствами, так как они получены с нарушением норм процессуального права РК.</w:t>
      </w:r>
    </w:p>
    <w:p w14:paraId="0EA60791" w14:textId="04C89EBF" w:rsidR="00984E69" w:rsidRPr="00530227" w:rsidRDefault="00984E69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В</w:t>
      </w:r>
      <w:r w:rsidR="00A47D72"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о-вторых, в 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таблице №1 в позиции 3 указано, что Гранд Магистр 4</w:t>
      </w:r>
      <w:r w:rsidR="00A47D72"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прибор приемно-контрольный модульный пластиковый корпус по договору должно быть в количестве 9 штук, фактический 0 штук и соответственно в процентном соотношении выполнения 0%. С таким выводом эксперта нельзя согласится, в силу следующих обстоятельств.</w:t>
      </w:r>
    </w:p>
    <w:p w14:paraId="5D3314B0" w14:textId="5EAA5652" w:rsidR="00A47D72" w:rsidRPr="00530227" w:rsidRDefault="00A47D72" w:rsidP="00984E6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Фактический на момент завершения </w:t>
      </w:r>
      <w:r w:rsidR="00A5131A" w:rsidRPr="00530227">
        <w:rPr>
          <w:rFonts w:ascii="Times New Roman" w:hAnsi="Times New Roman"/>
          <w:color w:val="000000"/>
          <w:spacing w:val="1"/>
          <w:sz w:val="26"/>
          <w:szCs w:val="26"/>
        </w:rPr>
        <w:t>обязательств,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взятых нами по договору 28/10/23 от 28.08.2023 года (позиция - 87), данное оборудование было нами смонтировано, выполнена пуска-наладка оборудования и принято: технадзором, авторским надзором и Заказчиком, что подтверждается АВР </w:t>
      </w:r>
      <w:r w:rsidR="00A5131A"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№3 от 30.09.2023 года. </w:t>
      </w:r>
    </w:p>
    <w:p w14:paraId="3DDDDA78" w14:textId="3C747752" w:rsidR="00530227" w:rsidRPr="00530227" w:rsidRDefault="00530227" w:rsidP="00530227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Впоследствии, в связи с поломкой оборудования, по инициативе Генерального заказчика ОСИ МЖД К</w:t>
      </w:r>
      <w:r w:rsidR="00E64343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..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М.Б., прибор был заменен на БОЛИТ Сигнал-10 и Сигнал-20, приобретенные и установленные нами за собственные средства, включая все комплектующие и пусконаладку;</w:t>
      </w:r>
    </w:p>
    <w:p w14:paraId="03131274" w14:textId="77777777" w:rsidR="00530227" w:rsidRPr="00530227" w:rsidRDefault="00530227" w:rsidP="00530227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Оборудование функционирует, претензий от Заказчика не имеется.</w:t>
      </w:r>
    </w:p>
    <w:p w14:paraId="289C447A" w14:textId="0DFBB4BF" w:rsidR="006337CB" w:rsidRDefault="006337CB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lastRenderedPageBreak/>
        <w:t xml:space="preserve">Из этого следует, что выводы эксперта в этой части не соответствует действительности. </w:t>
      </w:r>
    </w:p>
    <w:p w14:paraId="0DB78BFD" w14:textId="511BE0CA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3. Ошибки в позициях 4, 14, 16, 17, 18, 22, 26</w:t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br/>
        <w:t>Указанные в таблице материалы и оборудование вообще не поставлялись Истцом. Следовательно, утверждение эксперта о якобы неполной или отсутствующей установке данных позиций не соответствует действительности</w:t>
      </w:r>
      <w:r w:rsidR="004E6B29">
        <w:rPr>
          <w:rFonts w:ascii="Times New Roman" w:hAnsi="Times New Roman"/>
          <w:color w:val="000000"/>
          <w:spacing w:val="1"/>
          <w:sz w:val="26"/>
          <w:szCs w:val="26"/>
        </w:rPr>
        <w:t>.</w:t>
      </w:r>
    </w:p>
    <w:p w14:paraId="558223F4" w14:textId="77777777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4. Кабель КПСЭнг-FRHF 2х2х0,5 (поз. 20)</w:t>
      </w:r>
    </w:p>
    <w:p w14:paraId="7CAA3D93" w14:textId="77777777" w:rsidR="00530227" w:rsidRPr="00530227" w:rsidRDefault="00530227" w:rsidP="00530227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Был смонтирован и протянут к извещателям ИП 212-141 (поз. 8) и ИПР 513-10 (поз. 9).</w:t>
      </w:r>
    </w:p>
    <w:p w14:paraId="2A092CDC" w14:textId="77777777" w:rsidR="00530227" w:rsidRPr="00530227" w:rsidRDefault="00530227" w:rsidP="00530227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Кабель проложен в полном объеме, что подтверждается схемами и актами выполненных работ.</w:t>
      </w:r>
    </w:p>
    <w:p w14:paraId="3D0AC286" w14:textId="77777777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5. Кабель КПСЭнг-FRHF 2х2х0,75</w:t>
      </w:r>
    </w:p>
    <w:p w14:paraId="60D556E9" w14:textId="77777777" w:rsidR="00530227" w:rsidRPr="00530227" w:rsidRDefault="00530227" w:rsidP="00530227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Использовался для подключения светового оповещателя «ЛЮКС-12 Шығу/Выход» (поз. 11) и звукового оповещателя «Маяк 1-3М».</w:t>
      </w:r>
    </w:p>
    <w:p w14:paraId="73740661" w14:textId="77777777" w:rsidR="00530227" w:rsidRPr="00530227" w:rsidRDefault="00530227" w:rsidP="00530227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Все устройства установлены и функционируют. Указание эксперта об отсутствии монтажа — ошибочно.</w:t>
      </w:r>
    </w:p>
    <w:p w14:paraId="452599FE" w14:textId="77777777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6. Кабель КВВГ нг(A) 10*1.5</w:t>
      </w:r>
    </w:p>
    <w:p w14:paraId="4E918EB2" w14:textId="77777777" w:rsidR="00530227" w:rsidRPr="00530227" w:rsidRDefault="00530227" w:rsidP="00530227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Предназначался для системы дымоудаления, однако шахта под дымоудаление на момент сдачи объекта не была построена, что делает монтаж физически невозможным.</w:t>
      </w:r>
    </w:p>
    <w:p w14:paraId="411C324F" w14:textId="77777777" w:rsidR="00530227" w:rsidRPr="00530227" w:rsidRDefault="00530227" w:rsidP="00530227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Решение об отказе от установки было согласовано с Генеральным заказчиком, </w:t>
      </w:r>
    </w:p>
    <w:p w14:paraId="71C2CCE6" w14:textId="77777777" w:rsidR="00530227" w:rsidRPr="00530227" w:rsidRDefault="00530227" w:rsidP="00530227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Указанный кабель не поставлялся и не передавался нам.</w:t>
      </w:r>
    </w:p>
    <w:p w14:paraId="593B8957" w14:textId="77777777" w:rsidR="00530227" w:rsidRPr="000E103D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t>Уточнение по Трубе гофрированной ПВХ Ø16 с протяжкой, указанной в Таблице №1:</w:t>
      </w: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br/>
      </w: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 xml:space="preserve">         </w:t>
      </w: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t>В таблице указано, что смонтировано 10 м, однако данная информация является неточной. Фактически труба ПВХ Ø16 с протяжкой используется в полном объеме, так как:</w:t>
      </w:r>
    </w:p>
    <w:p w14:paraId="5C10BD20" w14:textId="77777777" w:rsidR="00530227" w:rsidRPr="000E103D" w:rsidRDefault="00530227" w:rsidP="005302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t>В подвальном помещении установлены две кнопки ИПР 513, к которым проложен кабель в указанной трубе.</w:t>
      </w:r>
    </w:p>
    <w:p w14:paraId="09344B65" w14:textId="77777777" w:rsidR="00530227" w:rsidRPr="000E103D" w:rsidRDefault="00530227" w:rsidP="005302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t>Также в том же помещении проложен кабель ВВГ 3×1,5 для питания приборов, указанных в позициях 1, 3 и 5 Таблицы №1, причем данный кабель также проложен в трубе ПВХ Ø16 с протяжкой.</w:t>
      </w:r>
    </w:p>
    <w:p w14:paraId="62560DCA" w14:textId="34967CD5" w:rsidR="00530227" w:rsidRPr="00530227" w:rsidRDefault="00530227" w:rsidP="006337C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0E103D">
        <w:rPr>
          <w:rFonts w:ascii="Times New Roman" w:hAnsi="Times New Roman"/>
          <w:color w:val="000000"/>
          <w:spacing w:val="1"/>
          <w:sz w:val="26"/>
          <w:szCs w:val="26"/>
        </w:rPr>
        <w:t>Таким образом, труба гофрированная ПВХ Ø16 с протяжкой использована полностью в соответствии с проектом.</w:t>
      </w:r>
    </w:p>
    <w:p w14:paraId="1A5BE39D" w14:textId="77777777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8. Саморезы 5*50 с дюбелем (поз. условная)</w:t>
      </w:r>
    </w:p>
    <w:p w14:paraId="5237C0B8" w14:textId="77777777" w:rsidR="00530227" w:rsidRPr="00530227" w:rsidRDefault="00530227" w:rsidP="00530227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Указано 144 шт, фактически использовано более 600 шт, в том числе:</w:t>
      </w:r>
    </w:p>
    <w:p w14:paraId="3FE94602" w14:textId="77777777" w:rsidR="00530227" w:rsidRPr="00530227" w:rsidRDefault="00530227" w:rsidP="00530227">
      <w:pPr>
        <w:numPr>
          <w:ilvl w:val="1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для крепления оборудования,</w:t>
      </w:r>
    </w:p>
    <w:p w14:paraId="732F9B88" w14:textId="77777777" w:rsidR="00530227" w:rsidRPr="00530227" w:rsidRDefault="00530227" w:rsidP="00530227">
      <w:pPr>
        <w:numPr>
          <w:ilvl w:val="1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монтажа датчиков,</w:t>
      </w:r>
    </w:p>
    <w:p w14:paraId="046EA453" w14:textId="77777777" w:rsidR="00530227" w:rsidRPr="00530227" w:rsidRDefault="00530227" w:rsidP="00530227">
      <w:pPr>
        <w:numPr>
          <w:ilvl w:val="1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установки кабель-канала 25*16 (200 м, 3 самореза на 1 м).</w:t>
      </w:r>
    </w:p>
    <w:p w14:paraId="23A2B7A1" w14:textId="77777777" w:rsidR="00530227" w:rsidRPr="00530227" w:rsidRDefault="00530227" w:rsidP="0053022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9. Кабель U/UTP 4х2 AWG 24/1 PVC Cat. 5e (поз. 33)</w:t>
      </w:r>
    </w:p>
    <w:p w14:paraId="346B6D29" w14:textId="77777777" w:rsidR="00530227" w:rsidRPr="00530227" w:rsidRDefault="00530227" w:rsidP="005302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Использовался для подключения 3 видеокамер:</w:t>
      </w:r>
    </w:p>
    <w:p w14:paraId="18479749" w14:textId="77777777" w:rsidR="00530227" w:rsidRPr="00530227" w:rsidRDefault="00530227" w:rsidP="00530227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1-я — на 1 этаже, внутри, у входа,</w:t>
      </w:r>
    </w:p>
    <w:p w14:paraId="0D8399C0" w14:textId="77777777" w:rsidR="00530227" w:rsidRPr="00530227" w:rsidRDefault="00530227" w:rsidP="00530227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2-я — на улице, у входа,</w:t>
      </w:r>
    </w:p>
    <w:p w14:paraId="0CAE0025" w14:textId="77777777" w:rsidR="00530227" w:rsidRPr="00530227" w:rsidRDefault="00530227" w:rsidP="00530227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3-я — на чердаке, направлена на выход и лифтовую.</w:t>
      </w:r>
    </w:p>
    <w:p w14:paraId="0A48310F" w14:textId="77777777" w:rsidR="00530227" w:rsidRPr="00530227" w:rsidRDefault="00530227" w:rsidP="005302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30227">
        <w:rPr>
          <w:rFonts w:ascii="Times New Roman" w:hAnsi="Times New Roman"/>
          <w:color w:val="000000"/>
          <w:spacing w:val="1"/>
          <w:sz w:val="26"/>
          <w:szCs w:val="26"/>
        </w:rPr>
        <w:t>Главный шкаф и видеорегистратор установлены в подвале, откуда идут отдельные трассы к каждой камере. Общая длина кабеля значительно превышает 10 метров.</w:t>
      </w:r>
    </w:p>
    <w:p w14:paraId="0E8EC6F9" w14:textId="77777777" w:rsidR="00530227" w:rsidRDefault="00530227" w:rsidP="00530227">
      <w:pPr>
        <w:shd w:val="clear" w:color="auto" w:fill="FFFFFF"/>
        <w:ind w:firstLine="709"/>
        <w:jc w:val="both"/>
      </w:pPr>
    </w:p>
    <w:p w14:paraId="2427180F" w14:textId="6ABC788C" w:rsidR="00A5131A" w:rsidRPr="00E64343" w:rsidRDefault="006337CB" w:rsidP="006337CB">
      <w:pPr>
        <w:shd w:val="clear" w:color="auto" w:fill="FFFFFF"/>
        <w:ind w:firstLine="709"/>
        <w:jc w:val="right"/>
        <w:rPr>
          <w:b/>
          <w:bCs/>
          <w:sz w:val="28"/>
          <w:szCs w:val="28"/>
          <w:lang w:val="kk-KZ"/>
        </w:rPr>
      </w:pPr>
      <w:r w:rsidRPr="006337CB">
        <w:rPr>
          <w:b/>
          <w:bCs/>
          <w:sz w:val="28"/>
          <w:szCs w:val="28"/>
        </w:rPr>
        <w:t xml:space="preserve">Представитель Ответчика </w:t>
      </w:r>
      <w:r w:rsidRPr="006337CB">
        <w:rPr>
          <w:b/>
          <w:bCs/>
          <w:sz w:val="28"/>
          <w:szCs w:val="28"/>
        </w:rPr>
        <w:tab/>
      </w:r>
      <w:r w:rsidRPr="006337CB">
        <w:rPr>
          <w:b/>
          <w:bCs/>
          <w:sz w:val="28"/>
          <w:szCs w:val="28"/>
        </w:rPr>
        <w:tab/>
      </w:r>
      <w:r w:rsidRPr="006337CB">
        <w:rPr>
          <w:b/>
          <w:bCs/>
          <w:sz w:val="28"/>
          <w:szCs w:val="28"/>
        </w:rPr>
        <w:tab/>
      </w:r>
      <w:r w:rsidRPr="006337CB">
        <w:rPr>
          <w:b/>
          <w:bCs/>
          <w:sz w:val="28"/>
          <w:szCs w:val="28"/>
        </w:rPr>
        <w:tab/>
        <w:t>А. А</w:t>
      </w:r>
      <w:r w:rsidR="00E64343">
        <w:rPr>
          <w:b/>
          <w:bCs/>
          <w:sz w:val="28"/>
          <w:szCs w:val="28"/>
          <w:lang w:val="kk-KZ"/>
        </w:rPr>
        <w:t>.</w:t>
      </w:r>
    </w:p>
    <w:sectPr w:rsidR="00A5131A" w:rsidRPr="00E64343" w:rsidSect="003F5232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613"/>
    <w:multiLevelType w:val="multilevel"/>
    <w:tmpl w:val="D298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83060"/>
    <w:multiLevelType w:val="multilevel"/>
    <w:tmpl w:val="1B4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77A7"/>
    <w:multiLevelType w:val="multilevel"/>
    <w:tmpl w:val="14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B1858"/>
    <w:multiLevelType w:val="multilevel"/>
    <w:tmpl w:val="160C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44E68"/>
    <w:multiLevelType w:val="multilevel"/>
    <w:tmpl w:val="49A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F23ED"/>
    <w:multiLevelType w:val="multilevel"/>
    <w:tmpl w:val="C68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43C88"/>
    <w:multiLevelType w:val="multilevel"/>
    <w:tmpl w:val="C8CA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864">
    <w:abstractNumId w:val="4"/>
  </w:num>
  <w:num w:numId="2" w16cid:durableId="1241018330">
    <w:abstractNumId w:val="0"/>
  </w:num>
  <w:num w:numId="3" w16cid:durableId="2101215876">
    <w:abstractNumId w:val="5"/>
  </w:num>
  <w:num w:numId="4" w16cid:durableId="434637407">
    <w:abstractNumId w:val="1"/>
  </w:num>
  <w:num w:numId="5" w16cid:durableId="801994719">
    <w:abstractNumId w:val="2"/>
  </w:num>
  <w:num w:numId="6" w16cid:durableId="62073394">
    <w:abstractNumId w:val="6"/>
  </w:num>
  <w:num w:numId="7" w16cid:durableId="1084571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27"/>
    <w:rsid w:val="00015603"/>
    <w:rsid w:val="000F318E"/>
    <w:rsid w:val="00213D49"/>
    <w:rsid w:val="003F5232"/>
    <w:rsid w:val="0046421B"/>
    <w:rsid w:val="004B5653"/>
    <w:rsid w:val="004E6B29"/>
    <w:rsid w:val="00530227"/>
    <w:rsid w:val="005E2799"/>
    <w:rsid w:val="006337CB"/>
    <w:rsid w:val="006E0C7A"/>
    <w:rsid w:val="00964467"/>
    <w:rsid w:val="00984E69"/>
    <w:rsid w:val="00A47D72"/>
    <w:rsid w:val="00A5131A"/>
    <w:rsid w:val="00A65E1E"/>
    <w:rsid w:val="00AC1CD1"/>
    <w:rsid w:val="00C538BA"/>
    <w:rsid w:val="00CF5647"/>
    <w:rsid w:val="00E64343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A7A1"/>
  <w15:chartTrackingRefBased/>
  <w15:docId w15:val="{0298D8A1-8307-41A0-A0C7-65449A1B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A27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A2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2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27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27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27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27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27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27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27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A2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A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A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A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A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A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A2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A2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27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A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D5A27"/>
    <w:pPr>
      <w:suppressAutoHyphens w:val="0"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A27"/>
    <w:pPr>
      <w:suppressAutoHyphens w:val="0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D5A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A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A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5A27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FD5A2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f"/>
    <w:uiPriority w:val="1"/>
    <w:qFormat/>
    <w:rsid w:val="00FD5A27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f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e"/>
    <w:uiPriority w:val="1"/>
    <w:locked/>
    <w:rsid w:val="00FD5A27"/>
    <w:rPr>
      <w:rFonts w:ascii="Calibri" w:eastAsia="Calibri" w:hAnsi="Calibri" w:cs="Times New Roman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Алмабаев</dc:creator>
  <cp:keywords/>
  <dc:description/>
  <cp:lastModifiedBy>Адвокатская контора Закон и Право</cp:lastModifiedBy>
  <cp:revision>3</cp:revision>
  <dcterms:created xsi:type="dcterms:W3CDTF">2025-06-12T05:42:00Z</dcterms:created>
  <dcterms:modified xsi:type="dcterms:W3CDTF">2026-02-01T13:42:00Z</dcterms:modified>
</cp:coreProperties>
</file>