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B0095" w14:textId="75AF8893" w:rsidR="00536F73" w:rsidRPr="00BF4E12" w:rsidRDefault="00BF4E12" w:rsidP="00E90F0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4E12">
        <w:rPr>
          <w:rFonts w:ascii="Times New Roman" w:hAnsi="Times New Roman" w:cs="Times New Roman"/>
          <w:b/>
          <w:bCs/>
          <w:sz w:val="24"/>
          <w:szCs w:val="24"/>
          <w:lang w:val="kk-KZ"/>
        </w:rPr>
        <w:t>С</w:t>
      </w:r>
      <w:proofErr w:type="spellStart"/>
      <w:r w:rsidR="00A63473" w:rsidRPr="00BF4E12">
        <w:rPr>
          <w:rFonts w:ascii="Times New Roman" w:hAnsi="Times New Roman" w:cs="Times New Roman"/>
          <w:b/>
          <w:bCs/>
          <w:sz w:val="24"/>
          <w:szCs w:val="24"/>
        </w:rPr>
        <w:t>удебн</w:t>
      </w:r>
      <w:proofErr w:type="spellEnd"/>
      <w:r w:rsidRPr="00BF4E12">
        <w:rPr>
          <w:rFonts w:ascii="Times New Roman" w:hAnsi="Times New Roman" w:cs="Times New Roman"/>
          <w:b/>
          <w:bCs/>
          <w:sz w:val="24"/>
          <w:szCs w:val="24"/>
          <w:lang w:val="kk-KZ"/>
        </w:rPr>
        <w:t>ая</w:t>
      </w:r>
      <w:r w:rsidR="00A63473" w:rsidRPr="00BF4E12">
        <w:rPr>
          <w:rFonts w:ascii="Times New Roman" w:hAnsi="Times New Roman" w:cs="Times New Roman"/>
          <w:b/>
          <w:bCs/>
          <w:sz w:val="24"/>
          <w:szCs w:val="24"/>
        </w:rPr>
        <w:t xml:space="preserve"> практик</w:t>
      </w:r>
      <w:r w:rsidRPr="00BF4E12"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r w:rsidR="00A63473" w:rsidRPr="00BF4E12">
        <w:rPr>
          <w:rFonts w:ascii="Times New Roman" w:hAnsi="Times New Roman" w:cs="Times New Roman"/>
          <w:b/>
          <w:bCs/>
          <w:sz w:val="24"/>
          <w:szCs w:val="24"/>
        </w:rPr>
        <w:t xml:space="preserve"> о судебных расходах по гражданским делам</w:t>
      </w:r>
    </w:p>
    <w:p w14:paraId="15FBA9C0" w14:textId="77777777" w:rsidR="00E90F0D" w:rsidRDefault="00536F73" w:rsidP="00E90F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0F0D">
        <w:rPr>
          <w:rFonts w:ascii="Times New Roman" w:hAnsi="Times New Roman" w:cs="Times New Roman"/>
          <w:sz w:val="24"/>
          <w:szCs w:val="24"/>
        </w:rPr>
        <w:t xml:space="preserve">Данное обобщение проведено в соответствии с планом работы Верховного суда на второе полугодие 2017 года с целью изучения судебной практики по вопросам применения судами законодательства о судебных расходах по гражданским делам, выявления проблемных вопросов при применении новелл законодательства и предложений о внесении изменений и дополнений в нормативное постановление Верховного Суда Республики Казахстан от 25 декабря 2006 года № 9 «О применении судами Республики Казахстан законодательства о судебных расходах по гражданским делам», а также выработки предложений по формированию единообразного применения законодательства. </w:t>
      </w:r>
    </w:p>
    <w:p w14:paraId="48EBCC8D" w14:textId="77777777" w:rsidR="00E90F0D" w:rsidRDefault="00536F73" w:rsidP="00E90F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0F0D">
        <w:rPr>
          <w:rFonts w:ascii="Times New Roman" w:hAnsi="Times New Roman" w:cs="Times New Roman"/>
          <w:sz w:val="24"/>
          <w:szCs w:val="24"/>
        </w:rPr>
        <w:t>Обобщение проведено в соответствии с разработанным Верховным судом примерным перечнем вопросов и Методическими рекомендациями по организации и проведению обобщений судебной практики рассмотрения гражданских дел, утвержденными 20 июня 2005 года, на основании изучения гражданских дел и судебных актов, находящихся в учетных карточках информационной системы «</w:t>
      </w:r>
      <w:proofErr w:type="spellStart"/>
      <w:r w:rsidRPr="00E90F0D">
        <w:rPr>
          <w:rFonts w:ascii="Times New Roman" w:hAnsi="Times New Roman" w:cs="Times New Roman"/>
          <w:sz w:val="24"/>
          <w:szCs w:val="24"/>
        </w:rPr>
        <w:t>Төрелік</w:t>
      </w:r>
      <w:proofErr w:type="spellEnd"/>
      <w:r w:rsidRPr="00E90F0D">
        <w:rPr>
          <w:rFonts w:ascii="Times New Roman" w:hAnsi="Times New Roman" w:cs="Times New Roman"/>
          <w:sz w:val="24"/>
          <w:szCs w:val="24"/>
        </w:rPr>
        <w:t xml:space="preserve">», справок по результатам проведенных обобщений областными и приравненными к ним судами, а также практики кассационной судебной коллегии Верховного Суда. Ранее аналогичное обобщение проводилось в 2005 году. </w:t>
      </w:r>
    </w:p>
    <w:p w14:paraId="09F02EF1" w14:textId="128C0961" w:rsidR="00E90F0D" w:rsidRDefault="00536F73" w:rsidP="00E90F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0F0D">
        <w:rPr>
          <w:rFonts w:ascii="Times New Roman" w:hAnsi="Times New Roman" w:cs="Times New Roman"/>
          <w:sz w:val="24"/>
          <w:szCs w:val="24"/>
        </w:rPr>
        <w:t xml:space="preserve">Судебные расходы по гражданским делам регламентированы нормами Гражданского процессуального кодекса Республики Казахстан (далее – ГПК); Кодекса Республики Казахстан «О налогах и других обязательных платежах в бюджет (Налоговый кодекс)» (далее – Налоговый кодекс), Закона Республики Казахстан от 26 июля 2016 года «О платежах и платежных системах»; нормативными постановлениями Верховного Суда Республики Казахстан: от 25 декабря 2006 года № 9 «О применении судами Республики Казахстан законодательства о судебных расходах по гражданским делам» (далее – НП); от 20 марта 2003 года № 2 «О применении судами некоторых норм гражданского процессуального законодательства»; от 11 июля 2003 года № 5 «О судебном решении», от 7 июля 2016 года № 6 «О некоторых вопросах </w:t>
      </w:r>
      <w:hyperlink r:id="rId6" w:history="1">
        <w:r w:rsidRPr="00C14785">
          <w:rPr>
            <w:rStyle w:val="aa"/>
            <w:rFonts w:ascii="Times New Roman" w:hAnsi="Times New Roman" w:cs="Times New Roman"/>
            <w:sz w:val="24"/>
            <w:szCs w:val="24"/>
          </w:rPr>
          <w:t>недействительности сделок</w:t>
        </w:r>
      </w:hyperlink>
      <w:r w:rsidRPr="00E90F0D">
        <w:rPr>
          <w:rFonts w:ascii="Times New Roman" w:hAnsi="Times New Roman" w:cs="Times New Roman"/>
          <w:sz w:val="24"/>
          <w:szCs w:val="24"/>
        </w:rPr>
        <w:t xml:space="preserve"> и применении судами последствий их недействительности», а также другими нормативными правовыми актами Республики. </w:t>
      </w:r>
    </w:p>
    <w:p w14:paraId="2A2C424E" w14:textId="77777777" w:rsidR="00E90F0D" w:rsidRDefault="00536F73" w:rsidP="00E90F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0F0D">
        <w:rPr>
          <w:rFonts w:ascii="Times New Roman" w:hAnsi="Times New Roman" w:cs="Times New Roman"/>
          <w:sz w:val="24"/>
          <w:szCs w:val="24"/>
        </w:rPr>
        <w:t xml:space="preserve">Вопрос распределения судебных расходов является одним из наиболее значимых в гражданском процессе, поскольку решается судьей(судом) на каждом этапе гражданского судопроизводства (на стадии возбуждения гражданского дела, в ходе рассмотрения и при разрешении спора по существу) и по каждому гражданскому делу. </w:t>
      </w:r>
    </w:p>
    <w:p w14:paraId="1DF68F67" w14:textId="77777777" w:rsidR="00E90F0D" w:rsidRDefault="00536F73" w:rsidP="00E90F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0F0D">
        <w:rPr>
          <w:rFonts w:ascii="Times New Roman" w:hAnsi="Times New Roman" w:cs="Times New Roman"/>
          <w:sz w:val="24"/>
          <w:szCs w:val="24"/>
        </w:rPr>
        <w:t xml:space="preserve">При этом, в отличие от рассмотрения основных исковых требований, где суд, содействуя реализации сторонами принципа состязательности, осуществляет руководство процессом и выступает в качестве арбитра, вопросы распределения судебных расходов, вытекающие из применения норм гражданского процессуального законодательства, решаются судом зачастую без какого-либо заявления сторон и независимо от их позиции. </w:t>
      </w:r>
    </w:p>
    <w:p w14:paraId="632C2660" w14:textId="77777777" w:rsidR="00E90F0D" w:rsidRDefault="00536F73" w:rsidP="00E90F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0F0D">
        <w:rPr>
          <w:rFonts w:ascii="Times New Roman" w:hAnsi="Times New Roman" w:cs="Times New Roman"/>
          <w:sz w:val="24"/>
          <w:szCs w:val="24"/>
        </w:rPr>
        <w:t xml:space="preserve">С этой точки зрения правильность распределения государственной пошлины и судебных издержек свидетельствует о системном применении и толковании судьей норм гражданского процессуального и налогового законодательства и о понимании судьей характера спорных правоотношений, подлежащих установлению обстоятельств дела, бремени доказывания по конкретному </w:t>
      </w:r>
      <w:proofErr w:type="gramStart"/>
      <w:r w:rsidRPr="00E90F0D">
        <w:rPr>
          <w:rFonts w:ascii="Times New Roman" w:hAnsi="Times New Roman" w:cs="Times New Roman"/>
          <w:sz w:val="24"/>
          <w:szCs w:val="24"/>
        </w:rPr>
        <w:t>делу</w:t>
      </w:r>
      <w:proofErr w:type="gramEnd"/>
      <w:r w:rsidRPr="00E90F0D">
        <w:rPr>
          <w:rFonts w:ascii="Times New Roman" w:hAnsi="Times New Roman" w:cs="Times New Roman"/>
          <w:sz w:val="24"/>
          <w:szCs w:val="24"/>
        </w:rPr>
        <w:t xml:space="preserve"> в частности. </w:t>
      </w:r>
    </w:p>
    <w:p w14:paraId="5186FF4E" w14:textId="77777777" w:rsidR="00E90F0D" w:rsidRDefault="00536F73" w:rsidP="00E90F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0F0D">
        <w:rPr>
          <w:rFonts w:ascii="Times New Roman" w:hAnsi="Times New Roman" w:cs="Times New Roman"/>
          <w:sz w:val="24"/>
          <w:szCs w:val="24"/>
        </w:rPr>
        <w:t xml:space="preserve">Согласно статье 102 ГПК, судебные расходы состоят из государственной пошлины и издержек, связанных с производством по делу. При этом ГПК не даёт понятия судебных расходов, указывая лишь на их состав. На практике судебные расходы определяются как затраты, которые несут участвующие в деле лица и государство в связи с рассмотрением дела. </w:t>
      </w:r>
      <w:r w:rsidRPr="00E90F0D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Осуществление правосудия требует значительного государственного финансирования. Часть расходов покрываются за счёт сторон процесса. </w:t>
      </w:r>
    </w:p>
    <w:p w14:paraId="0405FCAE" w14:textId="77777777" w:rsidR="00E90F0D" w:rsidRDefault="00536F73" w:rsidP="00E90F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0F0D">
        <w:rPr>
          <w:rFonts w:ascii="Times New Roman" w:hAnsi="Times New Roman" w:cs="Times New Roman"/>
          <w:sz w:val="24"/>
          <w:szCs w:val="24"/>
        </w:rPr>
        <w:t xml:space="preserve">В соответствии со статьей 103 ГПК порядок уплаты и размер государственной пошлины, а также основания освобождения от её уплаты определяются Налоговым кодексом. Уплата государственной пошлины в бюджет должна быть подтверждена платёжными или кассовыми документами, а при оплате платежей посредством банкоматов, электронных терминалов, каналов удаленной связи и платежного шлюза «электронного правительства» – чеками и квитанциями на бумажных носителях или в электронном виде. </w:t>
      </w:r>
    </w:p>
    <w:p w14:paraId="5331A6A8" w14:textId="5FF670FF" w:rsidR="00E90F0D" w:rsidRDefault="00536F73" w:rsidP="00E90F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0F0D">
        <w:rPr>
          <w:rFonts w:ascii="Times New Roman" w:hAnsi="Times New Roman" w:cs="Times New Roman"/>
          <w:sz w:val="24"/>
          <w:szCs w:val="24"/>
        </w:rPr>
        <w:t xml:space="preserve">Статьей 108 ГПК предусмотрены виды издержек, связанных с производством по делу. Так, к издержкам, связанным с производством по делу, относятся: 1) суммы, подлежащие выплате свидетелям, экспертам и специалистам; 2) расходы, связанные с производством осмотра на месте; 3) расходы, связанные с </w:t>
      </w:r>
      <w:hyperlink r:id="rId7" w:history="1">
        <w:r w:rsidRPr="00E90F0D">
          <w:rPr>
            <w:rStyle w:val="aa"/>
            <w:rFonts w:ascii="Times New Roman" w:hAnsi="Times New Roman" w:cs="Times New Roman"/>
            <w:sz w:val="24"/>
            <w:szCs w:val="24"/>
          </w:rPr>
          <w:t>хранением вещественных доказательств</w:t>
        </w:r>
      </w:hyperlink>
      <w:r w:rsidRPr="00E90F0D">
        <w:rPr>
          <w:rFonts w:ascii="Times New Roman" w:hAnsi="Times New Roman" w:cs="Times New Roman"/>
          <w:sz w:val="24"/>
          <w:szCs w:val="24"/>
        </w:rPr>
        <w:t xml:space="preserve">; 4) расходы по розыску ответчика и (или) ребенка; 5) расходы, связанные с публикацией и объявлениями по делу; 6) расходы по извещению и вызову в суд сторон и других лиц, участвующих в деле; 7) расходы по проезду сторон и третьих лиц и найму жилых помещений, понесённые ими в связи с явкой в суд; 8) расходы по оплате помощи представителя; 9) другие расходы, признанные судом подлежащими возмещению, в том числе понесённые сторонами в процедурах обязательного досудебного урегулирования спора при последующем обращении в суд. </w:t>
      </w:r>
    </w:p>
    <w:p w14:paraId="00379CCD" w14:textId="74BB5ED2" w:rsidR="00A81D5F" w:rsidRPr="00E90F0D" w:rsidRDefault="00536F73" w:rsidP="00E90F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0F0D">
        <w:rPr>
          <w:rFonts w:ascii="Times New Roman" w:hAnsi="Times New Roman" w:cs="Times New Roman"/>
          <w:sz w:val="24"/>
          <w:szCs w:val="24"/>
        </w:rPr>
        <w:t>На практике в основном применяются нормы ГПК по взысканию судебных издержек в виде сумм, подлежащих выплате экспертам и специалистам, расходов по проезду и найму жилых помещений, понесённых в связи с явкой в суд; расходов по оплате помощи представителя, почтовые расходы и другие расходы, признанные судом подлежащими возмещению.</w:t>
      </w:r>
      <w:r w:rsidR="00CF5BD5" w:rsidRPr="00E90F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E90F0D" w:rsidRDefault="00F173BA" w:rsidP="00E90F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E90F0D" w:rsidRDefault="00F173BA" w:rsidP="00E90F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E90F0D" w:rsidRDefault="00F173BA" w:rsidP="00E90F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E90F0D" w:rsidRDefault="00F173BA" w:rsidP="00E90F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E90F0D" w:rsidRDefault="00F173BA" w:rsidP="00E90F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B7F58" w14:textId="77777777" w:rsidR="004F6F23" w:rsidRDefault="004F6F23" w:rsidP="00702393">
      <w:pPr>
        <w:spacing w:after="0" w:line="240" w:lineRule="auto"/>
      </w:pPr>
      <w:r>
        <w:separator/>
      </w:r>
    </w:p>
  </w:endnote>
  <w:endnote w:type="continuationSeparator" w:id="0">
    <w:p w14:paraId="1EA29D48" w14:textId="77777777" w:rsidR="004F6F23" w:rsidRDefault="004F6F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7121E" w14:textId="77777777" w:rsidR="004F6F23" w:rsidRDefault="004F6F23" w:rsidP="00702393">
      <w:pPr>
        <w:spacing w:after="0" w:line="240" w:lineRule="auto"/>
      </w:pPr>
      <w:r>
        <w:separator/>
      </w:r>
    </w:p>
  </w:footnote>
  <w:footnote w:type="continuationSeparator" w:id="0">
    <w:p w14:paraId="46393E85" w14:textId="77777777" w:rsidR="004F6F23" w:rsidRDefault="004F6F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05C25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F6F23"/>
    <w:rsid w:val="00536F7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63473"/>
    <w:rsid w:val="00A81D5F"/>
    <w:rsid w:val="00B31BDB"/>
    <w:rsid w:val="00BD7730"/>
    <w:rsid w:val="00BF4E12"/>
    <w:rsid w:val="00C14785"/>
    <w:rsid w:val="00C16D9C"/>
    <w:rsid w:val="00CB275A"/>
    <w:rsid w:val="00CF5BD5"/>
    <w:rsid w:val="00D02DFB"/>
    <w:rsid w:val="00DB660C"/>
    <w:rsid w:val="00E90F0D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90F0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90F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2021-10-26T09:55:00Z</dcterms:modified>
</cp:coreProperties>
</file>