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5.0.0 -->
  <w:body>
    <w:p>
      <w:pPr>
        <w:spacing w:before="240" w:after="0"/>
        <w:jc w:val="both"/>
        <w:rPr>
          <w:color w:val="00000A"/>
        </w:rPr>
      </w:pPr>
      <w:r>
        <w:rPr>
          <w:color w:val="00000A"/>
          <w:szCs w:val="24"/>
          <w:lang w:val="en-US"/>
        </w:rPr>
        <w:t xml:space="preserve"> 2-14080/2015</w:t>
      </w:r>
    </w:p>
    <w:tbl>
      <w:tblPr>
        <w:tblW w:w="10977" w:type="dxa"/>
        <w:jc w:val="center"/>
        <w:tblLayout w:type="fixed"/>
        <w:tblCellMar>
          <w:left w:w="0" w:type="dxa"/>
          <w:right w:w="0" w:type="dxa"/>
        </w:tblCellMar>
        <w:tblLook w:val="04A0"/>
      </w:tblPr>
      <w:tblGrid>
        <w:gridCol w:w="2165"/>
        <w:gridCol w:w="5812"/>
        <w:gridCol w:w="3000"/>
      </w:tblGrid>
      <w:tr>
        <w:tblPrEx>
          <w:tblW w:w="10977" w:type="dxa"/>
          <w:jc w:val="center"/>
          <w:tblLayout w:type="fixed"/>
          <w:tblCellMar>
            <w:left w:w="0" w:type="dxa"/>
            <w:right w:w="0" w:type="dxa"/>
          </w:tblCellMar>
          <w:tblLook w:val="04A0"/>
        </w:tblPrEx>
        <w:trPr>
          <w:trHeight w:val="1559"/>
          <w:jc w:val="center"/>
        </w:trPr>
        <w:tc>
          <w:tcPr>
            <w:tcW w:w="2165" w:type="dxa"/>
            <w:tcBorders>
              <w:top w:val="nil"/>
              <w:left w:val="nil"/>
              <w:bottom w:val="nil"/>
              <w:right w:val="nil"/>
            </w:tcBorders>
            <w:shd w:val="clear" w:color="auto" w:fill="FFFFFF"/>
            <w:vAlign w:val="center"/>
          </w:tcPr>
          <w:p>
            <w:pPr>
              <w:tabs>
                <w:tab w:val="clear" w:pos="720"/>
              </w:tabs>
              <w:spacing w:after="0" w:line="240" w:lineRule="auto"/>
              <w:jc w:val="center"/>
              <w:rPr>
                <w:color w:val="000000"/>
              </w:rPr>
            </w:pPr>
          </w:p>
        </w:tc>
        <w:tc>
          <w:tcPr>
            <w:tcW w:w="5812" w:type="dxa"/>
            <w:tcBorders>
              <w:top w:val="nil"/>
              <w:left w:val="nil"/>
              <w:bottom w:val="nil"/>
              <w:right w:val="nil"/>
            </w:tcBorders>
            <w:shd w:val="clear" w:color="auto" w:fill="FFFFFF"/>
            <w:vAlign w:val="center"/>
          </w:tcPr>
          <w:p>
            <w:pPr>
              <w:tabs>
                <w:tab w:val="clear" w:pos="720"/>
              </w:tabs>
              <w:spacing w:after="0" w:line="240" w:lineRule="auto"/>
              <w:ind w:left="654"/>
              <w:jc w:val="center"/>
              <w:rPr>
                <w:color w:val="000000"/>
              </w:rPr>
            </w:pPr>
            <w:r>
              <w:rPr>
                <w:b/>
                <w:bCs/>
                <w:color w:val="0070C0"/>
                <w:sz w:val="20"/>
              </w:rPr>
              <w:drawing>
                <wp:inline distT="0" distB="0" distL="0" distR="0">
                  <wp:extent cx="935354" cy="935354"/>
                  <wp:docPr id="1"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4"/>
                          <a:stretch>
                            <a:fillRect/>
                          </a:stretch>
                        </pic:blipFill>
                        <pic:spPr bwMode="auto">
                          <a:xfrm>
                            <a:off x="0" y="0"/>
                            <a:ext cx="935355" cy="935355"/>
                          </a:xfrm>
                          <a:prstGeom prst="rect">
                            <a:avLst/>
                          </a:prstGeom>
                          <a:noFill/>
                          <a:ln>
                            <a:noFill/>
                          </a:ln>
                        </pic:spPr>
                      </pic:pic>
                    </a:graphicData>
                  </a:graphic>
                </wp:inline>
              </w:drawing>
            </w:r>
          </w:p>
        </w:tc>
        <w:tc>
          <w:tcPr>
            <w:tcW w:w="3000" w:type="dxa"/>
            <w:tcBorders>
              <w:top w:val="nil"/>
              <w:left w:val="nil"/>
              <w:bottom w:val="nil"/>
              <w:right w:val="nil"/>
            </w:tcBorders>
            <w:shd w:val="clear" w:color="auto" w:fill="FFFFFF"/>
            <w:vAlign w:val="center"/>
          </w:tcPr>
          <w:p>
            <w:pPr>
              <w:tabs>
                <w:tab w:val="clear" w:pos="720"/>
              </w:tabs>
              <w:spacing w:after="0" w:line="240" w:lineRule="auto"/>
              <w:jc w:val="center"/>
              <w:rPr>
                <w:color w:val="000000"/>
              </w:rPr>
            </w:pPr>
          </w:p>
        </w:tc>
      </w:tr>
      <w:tr>
        <w:tblPrEx>
          <w:tblW w:w="10977" w:type="dxa"/>
          <w:jc w:val="center"/>
          <w:tblLayout w:type="fixed"/>
          <w:tblCellMar>
            <w:left w:w="0" w:type="dxa"/>
            <w:right w:w="0" w:type="dxa"/>
          </w:tblCellMar>
          <w:tblLook w:val="04A0"/>
        </w:tblPrEx>
        <w:trPr>
          <w:trHeight w:val="212"/>
          <w:jc w:val="center"/>
        </w:trPr>
        <w:tc>
          <w:tcPr>
            <w:tcW w:w="2165" w:type="dxa"/>
            <w:tcBorders>
              <w:top w:val="nil"/>
              <w:left w:val="nil"/>
              <w:bottom w:val="nil"/>
              <w:right w:val="nil"/>
            </w:tcBorders>
            <w:shd w:val="clear" w:color="auto" w:fill="FFFFFF"/>
            <w:tcMar>
              <w:top w:w="170" w:type="dxa"/>
              <w:left w:w="108" w:type="dxa"/>
              <w:bottom w:w="170" w:type="dxa"/>
              <w:right w:w="108" w:type="dxa"/>
            </w:tcMar>
            <w:vAlign w:val="center"/>
          </w:tcPr>
          <w:p>
            <w:pPr>
              <w:tabs>
                <w:tab w:val="clear" w:pos="720"/>
              </w:tabs>
              <w:spacing w:after="0" w:line="212" w:lineRule="atLeast"/>
              <w:jc w:val="center"/>
              <w:rPr>
                <w:color w:val="000000"/>
              </w:rPr>
            </w:pPr>
          </w:p>
        </w:tc>
        <w:tc>
          <w:tcPr>
            <w:tcW w:w="5812" w:type="dxa"/>
            <w:tcBorders>
              <w:top w:val="nil"/>
              <w:left w:val="nil"/>
              <w:bottom w:val="nil"/>
              <w:right w:val="nil"/>
            </w:tcBorders>
            <w:shd w:val="clear" w:color="auto" w:fill="FFFFFF"/>
            <w:tcMar>
              <w:top w:w="170" w:type="dxa"/>
              <w:left w:w="108" w:type="dxa"/>
              <w:bottom w:w="170" w:type="dxa"/>
              <w:right w:w="108" w:type="dxa"/>
            </w:tcMar>
            <w:vAlign w:val="center"/>
          </w:tcPr>
          <w:p>
            <w:pPr>
              <w:tabs>
                <w:tab w:val="clear" w:pos="720"/>
              </w:tabs>
              <w:spacing w:after="0" w:line="212" w:lineRule="atLeast"/>
              <w:ind w:left="688"/>
              <w:jc w:val="center"/>
              <w:rPr>
                <w:b/>
                <w:color w:val="000000"/>
              </w:rPr>
            </w:pPr>
            <w:r>
              <w:rPr>
                <w:b/>
                <w:color w:val="000000"/>
                <w:szCs w:val="24"/>
              </w:rPr>
              <w:t>РЕШЕНИЕ</w:t>
            </w:r>
          </w:p>
          <w:p>
            <w:pPr>
              <w:tabs>
                <w:tab w:val="clear" w:pos="720"/>
              </w:tabs>
              <w:spacing w:after="0" w:line="212" w:lineRule="atLeast"/>
              <w:ind w:left="688"/>
              <w:jc w:val="center"/>
              <w:rPr>
                <w:b/>
                <w:color w:val="000000"/>
              </w:rPr>
            </w:pPr>
            <w:r>
              <w:rPr>
                <w:b/>
                <w:color w:val="000000"/>
                <w:szCs w:val="24"/>
              </w:rPr>
              <w:t>ИМЕНЕМ РЕСПУБЛИКИ КАЗАХСТАН</w:t>
            </w:r>
          </w:p>
        </w:tc>
        <w:tc>
          <w:tcPr>
            <w:tcW w:w="3000" w:type="dxa"/>
            <w:tcBorders>
              <w:top w:val="nil"/>
              <w:left w:val="nil"/>
              <w:bottom w:val="nil"/>
              <w:right w:val="nil"/>
            </w:tcBorders>
            <w:shd w:val="clear" w:color="auto" w:fill="FFFFFF"/>
            <w:tcMar>
              <w:top w:w="170" w:type="dxa"/>
              <w:left w:w="108" w:type="dxa"/>
              <w:bottom w:w="170" w:type="dxa"/>
              <w:right w:w="108" w:type="dxa"/>
            </w:tcMar>
            <w:vAlign w:val="center"/>
          </w:tcPr>
          <w:p>
            <w:pPr>
              <w:tabs>
                <w:tab w:val="clear" w:pos="720"/>
              </w:tabs>
              <w:spacing w:after="0" w:line="212" w:lineRule="atLeast"/>
              <w:jc w:val="center"/>
              <w:rPr>
                <w:b/>
                <w:color w:val="000000"/>
              </w:rPr>
            </w:pPr>
          </w:p>
        </w:tc>
      </w:tr>
    </w:tbl>
    <w:p>
      <w:pPr>
        <w:pBdr>
          <w:top w:val="none" w:sz="0" w:space="0" w:color="auto"/>
          <w:left w:val="none" w:sz="0" w:space="0" w:color="auto"/>
          <w:bottom w:val="none" w:sz="0" w:space="0" w:color="auto"/>
          <w:right w:val="none" w:sz="0" w:space="0" w:color="auto"/>
        </w:pBdr>
        <w:spacing w:before="0" w:after="0"/>
        <w:ind w:left="0" w:right="0" w:firstLine="0"/>
        <w:rPr>
          <w:rFonts w:ascii="Times New Roman" w:eastAsia="Times New Roman" w:hAnsi="Times New Roman" w:cs="Times New Roman" w:hint="default"/>
          <w:sz w:val="28"/>
        </w:rPr>
      </w:pPr>
      <w:r>
        <w:rPr>
          <w:rFonts w:ascii="Arial" w:eastAsia="Arial" w:hAnsi="Arial" w:cs="Arial" w:hint="cs"/>
          <w:color w:val="000000"/>
          <w:sz w:val="22"/>
        </w:rPr>
        <w:t xml:space="preserve"> </w:t>
      </w:r>
    </w:p>
    <w:p>
      <w:pPr>
        <w:pBdr>
          <w:top w:val="none" w:sz="0" w:space="0" w:color="auto"/>
          <w:left w:val="none" w:sz="0" w:space="0" w:color="auto"/>
          <w:bottom w:val="none" w:sz="0" w:space="0" w:color="auto"/>
          <w:right w:val="none" w:sz="0" w:space="0" w:color="auto"/>
        </w:pBdr>
        <w:spacing w:before="0" w:after="0"/>
        <w:ind w:left="0" w:right="0" w:firstLine="720"/>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14 января 2016 </w:t>
      </w:r>
      <w:r>
        <w:rPr>
          <w:rFonts w:ascii="Times New Roman" w:eastAsia="Times New Roman" w:hAnsi="Times New Roman" w:cs="Times New Roman" w:hint="cs"/>
          <w:color w:val="000000"/>
          <w:sz w:val="28"/>
        </w:rPr>
        <w:t>года</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ab/>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город Астана</w:t>
      </w:r>
      <w:r>
        <w:rPr>
          <w:rFonts w:ascii="Times New Roman" w:eastAsia="Times New Roman" w:hAnsi="Times New Roman" w:cs="Times New Roman" w:hint="cs"/>
          <w:color w:val="000000"/>
          <w:sz w:val="28"/>
        </w:rPr>
        <w:tab/>
      </w:r>
    </w:p>
    <w:p>
      <w:pPr>
        <w:pBdr>
          <w:top w:val="none" w:sz="0" w:space="0" w:color="auto"/>
          <w:left w:val="none" w:sz="0" w:space="0" w:color="auto"/>
          <w:bottom w:val="none" w:sz="0" w:space="0" w:color="auto"/>
          <w:right w:val="none" w:sz="0" w:space="0" w:color="auto"/>
        </w:pBdr>
        <w:spacing w:before="0" w:after="0"/>
        <w:ind w:left="0" w:right="0"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Специализированный межрайонный экономический суд</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города Астаны в составе председательствующего судьи Жамансариевой А.Ш., при секретаре судебного заседания Сыргашевой У.Б., с участием представителя истца Байбуллина Б.Ж., действующего на основании доверенности от 9 декабря 2015 года, представителя третьего лица, не заявляющего самостоятельные требования, А.Бащыгулова, действующего на основании доверенности от 14 января 2016 года, рассмотрев в открытом судебном заседании в помещении суда гражданское дело по иску Акмолинского транспортного прокурора в интересах государства к товариществу с ограниченной ответственностью «Северный Альянс»,</w:t>
      </w:r>
      <w:r>
        <w:rPr>
          <w:rFonts w:ascii="Times New Roman" w:eastAsia="Times New Roman" w:hAnsi="Times New Roman" w:cs="Times New Roman" w:hint="cs"/>
          <w:color w:val="000000"/>
          <w:sz w:val="28"/>
        </w:rPr>
        <w:t xml:space="preserve"> с привлечением третьих лиц, не завляющих самостоятельные требования на предмет спора, государственного учреждения «</w:t>
      </w:r>
      <w:r>
        <w:rPr>
          <w:rFonts w:ascii="Times New Roman" w:eastAsia="Times New Roman" w:hAnsi="Times New Roman" w:cs="Times New Roman" w:hint="cs"/>
          <w:color w:val="000000"/>
          <w:sz w:val="28"/>
        </w:rPr>
        <w:t>Департамент юстиции города Астаны», республиканского государственного учреждения «Департамент государственных доходов</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по городу Астана Комитета государственных доходов Министерства финансов Республики Казахстан» о признании недействительной и отмене государственной регистрации</w:t>
      </w:r>
      <w:r>
        <w:rPr>
          <w:rFonts w:ascii="Times New Roman" w:eastAsia="Times New Roman" w:hAnsi="Times New Roman" w:cs="Times New Roman" w:hint="cs"/>
          <w:color w:val="000000"/>
          <w:sz w:val="28"/>
        </w:rPr>
        <w:t xml:space="preserve"> с </w:t>
      </w:r>
      <w:r>
        <w:rPr>
          <w:rFonts w:ascii="Times New Roman" w:eastAsia="Times New Roman" w:hAnsi="Times New Roman" w:cs="Times New Roman" w:hint="cs"/>
          <w:color w:val="000000"/>
          <w:sz w:val="28"/>
        </w:rPr>
        <w:t>ликвидацией юридического лица</w:t>
      </w:r>
      <w:r>
        <w:rPr>
          <w:rFonts w:ascii="Times New Roman" w:eastAsia="Times New Roman" w:hAnsi="Times New Roman" w:cs="Times New Roman" w:hint="cs"/>
          <w:color w:val="000000"/>
          <w:sz w:val="28"/>
        </w:rPr>
        <w:t>,</w:t>
      </w:r>
    </w:p>
    <w:p>
      <w:pPr>
        <w:pBdr>
          <w:top w:val="none" w:sz="0" w:space="0" w:color="auto"/>
          <w:left w:val="none" w:sz="0" w:space="0" w:color="auto"/>
          <w:bottom w:val="none" w:sz="0" w:space="0" w:color="auto"/>
          <w:right w:val="none" w:sz="0" w:space="0" w:color="auto"/>
        </w:pBdr>
        <w:spacing w:before="0" w:after="0"/>
        <w:ind w:left="0" w:right="0"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 </w:t>
      </w:r>
    </w:p>
    <w:p>
      <w:pPr>
        <w:pBdr>
          <w:top w:val="none" w:sz="0" w:space="0" w:color="auto"/>
          <w:left w:val="none" w:sz="0" w:space="0" w:color="auto"/>
          <w:bottom w:val="none" w:sz="0" w:space="0" w:color="auto"/>
          <w:right w:val="none" w:sz="0" w:space="0" w:color="auto"/>
        </w:pBdr>
        <w:tabs>
          <w:tab w:val="clear" w:pos="720"/>
          <w:tab w:val="left" w:pos="900"/>
        </w:tabs>
        <w:spacing w:before="0" w:after="0"/>
        <w:ind w:left="0" w:right="0" w:firstLine="0"/>
        <w:jc w:val="center"/>
        <w:rPr>
          <w:rFonts w:ascii="Times New Roman" w:eastAsia="Times New Roman" w:hAnsi="Times New Roman" w:cs="Times New Roman" w:hint="default"/>
          <w:sz w:val="28"/>
        </w:rPr>
      </w:pPr>
      <w:r>
        <w:rPr>
          <w:rFonts w:ascii="Times New Roman" w:eastAsia="Times New Roman" w:hAnsi="Times New Roman" w:cs="Times New Roman" w:hint="cs"/>
          <w:b/>
          <w:color w:val="000000"/>
          <w:sz w:val="28"/>
        </w:rPr>
        <w:t>УСТАНОВИЛ:</w:t>
      </w:r>
    </w:p>
    <w:p>
      <w:pPr>
        <w:pBdr>
          <w:top w:val="none" w:sz="0" w:space="0" w:color="auto"/>
          <w:left w:val="none" w:sz="0" w:space="0" w:color="auto"/>
          <w:bottom w:val="none" w:sz="0" w:space="0" w:color="auto"/>
          <w:right w:val="none" w:sz="0" w:space="0" w:color="auto"/>
        </w:pBdr>
        <w:tabs>
          <w:tab w:val="clear" w:pos="720"/>
          <w:tab w:val="left" w:pos="900"/>
        </w:tabs>
        <w:spacing w:before="0" w:after="0"/>
        <w:ind w:left="0" w:right="0" w:firstLine="0"/>
        <w:jc w:val="both"/>
        <w:rPr>
          <w:rFonts w:ascii="Times New Roman" w:eastAsia="Times New Roman" w:hAnsi="Times New Roman" w:cs="Times New Roman" w:hint="default"/>
          <w:sz w:val="28"/>
        </w:rPr>
      </w:pPr>
      <w:r>
        <w:rPr>
          <w:rFonts w:ascii="Times New Roman" w:eastAsia="Times New Roman" w:hAnsi="Times New Roman" w:cs="Times New Roman" w:hint="cs"/>
          <w:b/>
          <w:color w:val="000000"/>
          <w:sz w:val="28"/>
        </w:rPr>
        <w:t xml:space="preserve"> </w:t>
      </w:r>
    </w:p>
    <w:p>
      <w:pPr>
        <w:pBdr>
          <w:top w:val="none" w:sz="0" w:space="0" w:color="auto"/>
          <w:left w:val="none" w:sz="0" w:space="0" w:color="auto"/>
          <w:bottom w:val="none" w:sz="0" w:space="0" w:color="auto"/>
          <w:right w:val="none" w:sz="0" w:space="0" w:color="auto"/>
        </w:pBdr>
        <w:tabs>
          <w:tab w:val="clear" w:pos="720"/>
          <w:tab w:val="left" w:pos="900"/>
        </w:tabs>
        <w:spacing w:before="0" w:after="0"/>
        <w:ind w:left="0" w:right="0" w:firstLine="0"/>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ab/>
      </w:r>
      <w:r>
        <w:rPr>
          <w:rFonts w:ascii="Times New Roman" w:eastAsia="Times New Roman" w:hAnsi="Times New Roman" w:cs="Times New Roman" w:hint="cs"/>
          <w:color w:val="000000"/>
          <w:sz w:val="28"/>
        </w:rPr>
        <w:t xml:space="preserve">Акмолинский транспортный прокурор </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в интересах государства обратился в суд с указанным иском, мотивируя свои требования тем, что в</w:t>
      </w:r>
      <w:r>
        <w:rPr>
          <w:rFonts w:ascii="Times New Roman" w:eastAsia="Times New Roman" w:hAnsi="Times New Roman" w:cs="Times New Roman" w:hint="cs"/>
          <w:color w:val="000000"/>
          <w:sz w:val="28"/>
        </w:rPr>
        <w:t xml:space="preserve"> ходе проведения оперативно-следственных мероприятий в рамках досудебного расследования Департаментом государственных доходов по городу Астана</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 xml:space="preserve">в отношении бывших руководителей ТОО «Лесозащита» по факту уклонения от уплаты налогов, группой лиц по предварительному сговору установлено, что 15 января 2010 года, на территории города Астана Бидайбековым Арманом Мухановичем по предварительному сговору с другими лицами в целях хищения государственных денежных средств в особо крупном размере, путем присвоения и растраты, в том числе денежных средств дочернего предприятия АО «Национальная компания </w:t>
      </w:r>
      <w:r>
        <w:rPr>
          <w:rFonts w:ascii="Times New Roman" w:eastAsia="Times New Roman" w:hAnsi="Times New Roman" w:cs="Times New Roman" w:hint="cs"/>
          <w:color w:val="000000"/>
          <w:sz w:val="28"/>
        </w:rPr>
        <w:t xml:space="preserve">«Қазақстан темір </w:t>
      </w:r>
      <w:r>
        <w:rPr>
          <w:rFonts w:ascii="Times New Roman" w:eastAsia="Times New Roman" w:hAnsi="Times New Roman" w:cs="Times New Roman" w:hint="cs"/>
          <w:color w:val="000000"/>
          <w:sz w:val="28"/>
        </w:rPr>
        <w:t>жолы», ТОО «Лесозащита», не имея намерений заниматься законной предпринимательской деятельностью, при полном отсутствии товарно -материальных запасов, помещений, автотранспорта и специальной техники, не обладая штатом работников, способных исполнять обязанности вытекающие из заключенных гражданско - правовых сделок, в целях извлечения имущественной выгоды и материального обогащения создано ТОО «Северный Альянс». Установлено, что филиалом ТОО «Лесозащита» - Северный</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согласно договорам №3/ЛЗ и 12/ЛЗ от 5 февраля 2010 года на расчетный счет ТОО «Северный Альянс» с февраля по май 2010 года перечислено 86 656 340 тенге за поставку материалов по изготовлению снегозашитных щитов и горюче-смазочных материалов, которые были сняты наличными сразу после их поступления.</w:t>
      </w:r>
    </w:p>
    <w:p>
      <w:pPr>
        <w:pBdr>
          <w:top w:val="none" w:sz="0" w:space="0" w:color="auto"/>
          <w:left w:val="none" w:sz="0" w:space="0" w:color="auto"/>
          <w:bottom w:val="none" w:sz="0" w:space="0" w:color="auto"/>
          <w:right w:val="none" w:sz="0" w:space="0" w:color="auto"/>
        </w:pBdr>
        <w:tabs>
          <w:tab w:val="clear" w:pos="720"/>
          <w:tab w:val="left" w:pos="900"/>
        </w:tabs>
        <w:spacing w:before="0" w:after="0"/>
        <w:ind w:left="0" w:right="0" w:firstLine="0"/>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ab/>
      </w:r>
      <w:r>
        <w:rPr>
          <w:rFonts w:ascii="Times New Roman" w:eastAsia="Times New Roman" w:hAnsi="Times New Roman" w:cs="Times New Roman" w:hint="cs"/>
          <w:color w:val="000000"/>
          <w:sz w:val="28"/>
        </w:rPr>
        <w:t>По адресу город Астана, улица Ынталы, дом 1а, квартира 3, который в учредительных документах указан в качестве юридического адреса ТОО «Северный Альянс», проживают граждане Амуртаевы.</w:t>
      </w:r>
    </w:p>
    <w:p>
      <w:pPr>
        <w:pBdr>
          <w:top w:val="none" w:sz="0" w:space="0" w:color="auto"/>
          <w:left w:val="none" w:sz="0" w:space="0" w:color="auto"/>
          <w:bottom w:val="none" w:sz="0" w:space="0" w:color="auto"/>
          <w:right w:val="none" w:sz="0" w:space="0" w:color="auto"/>
        </w:pBdr>
        <w:tabs>
          <w:tab w:val="clear" w:pos="720"/>
          <w:tab w:val="left" w:pos="900"/>
        </w:tabs>
        <w:spacing w:before="0" w:after="0"/>
        <w:ind w:left="0" w:right="0" w:firstLine="0"/>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ab/>
      </w:r>
      <w:r>
        <w:rPr>
          <w:rFonts w:ascii="Times New Roman" w:eastAsia="Times New Roman" w:hAnsi="Times New Roman" w:cs="Times New Roman" w:hint="cs"/>
          <w:color w:val="000000"/>
          <w:sz w:val="28"/>
        </w:rPr>
        <w:t>Помимо этого изучением юридического дела установлено, что уставный капитал ТОО «Северный Альянс» не сформирован. Каких-либо других финансовых взаимоотношений данное ТОО с другими контрагентами не имело, все перечисленные ТОО «Лесозащита» денежные средства с расчетных счетов обналичены в полном объеме сразу же после их поступления. Согласно заключению правильности исчисления налогов в бюджет сумма налогов, подлежащей уплате в бюджет, ТОО «Северный Альянс» составила 27 730 029 тенге, из них КПН 17 331 268 тенге, НДС 10 398 761 тенге. При этом, ТОО «Северный Альянс» декларации по КПН и НДС налоговому органу не представлены. Вместе с тем, налоговое обследование</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показало об отсутствии налогоплательщика по месту его регистрации, юридическое лицо по месту регистрации фактически отсутствует. Проводимые оперативно-следственные мероприятия по установлению учредителя и руководителя ТОО Бидайбекова Армана Мухановича по настоящее время положительных результатов не дали. Изложенное свидетельствует, что осуществление деятельности ТОО «Северный Альянс», как и его образование, изначально противоречит требованиям действующего законодательства Республики Казахстан и имело своей целью под видом имитации законной деятельности, совершение преступлений</w:t>
      </w:r>
      <w:r>
        <w:rPr>
          <w:rFonts w:ascii="Times New Roman" w:eastAsia="Times New Roman" w:hAnsi="Times New Roman" w:cs="Times New Roman" w:hint="cs"/>
          <w:color w:val="000000"/>
          <w:sz w:val="28"/>
        </w:rPr>
        <w:t>.</w:t>
      </w:r>
      <w:r>
        <w:rPr>
          <w:rFonts w:ascii="Times New Roman" w:eastAsia="Times New Roman" w:hAnsi="Times New Roman" w:cs="Times New Roman" w:hint="cs"/>
          <w:color w:val="000000"/>
          <w:sz w:val="28"/>
        </w:rPr>
        <w:t xml:space="preserve"> Просил признать недействительной и отменить государственную регистрацию с ликвидацией ТОО «Северный Альянс».</w:t>
      </w:r>
    </w:p>
    <w:p>
      <w:pPr>
        <w:pBdr>
          <w:top w:val="none" w:sz="0" w:space="0" w:color="auto"/>
          <w:left w:val="none" w:sz="0" w:space="0" w:color="auto"/>
          <w:bottom w:val="none" w:sz="0" w:space="0" w:color="auto"/>
          <w:right w:val="none" w:sz="0" w:space="0" w:color="auto"/>
        </w:pBdr>
        <w:spacing w:before="0" w:after="0"/>
        <w:ind w:left="0" w:right="0" w:firstLine="706"/>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ab/>
      </w:r>
      <w:r>
        <w:rPr>
          <w:rFonts w:ascii="Times New Roman" w:eastAsia="Times New Roman" w:hAnsi="Times New Roman" w:cs="Times New Roman" w:hint="cs"/>
          <w:color w:val="000000"/>
          <w:sz w:val="28"/>
        </w:rPr>
        <w:t xml:space="preserve">В судебном заседании представитель истца </w:t>
      </w:r>
      <w:r>
        <w:rPr>
          <w:rFonts w:ascii="Times New Roman" w:eastAsia="Times New Roman" w:hAnsi="Times New Roman" w:cs="Times New Roman" w:hint="cs"/>
          <w:color w:val="000000"/>
          <w:sz w:val="28"/>
        </w:rPr>
        <w:t xml:space="preserve">исковые </w:t>
      </w:r>
      <w:r>
        <w:rPr>
          <w:rFonts w:ascii="Times New Roman" w:eastAsia="Times New Roman" w:hAnsi="Times New Roman" w:cs="Times New Roman" w:hint="cs"/>
          <w:color w:val="000000"/>
          <w:sz w:val="28"/>
        </w:rPr>
        <w:t xml:space="preserve">требования поддержал, </w:t>
      </w:r>
      <w:r>
        <w:rPr>
          <w:rFonts w:ascii="Times New Roman" w:eastAsia="Times New Roman" w:hAnsi="Times New Roman" w:cs="Times New Roman" w:hint="cs"/>
          <w:color w:val="000000"/>
          <w:sz w:val="28"/>
        </w:rPr>
        <w:t>просил иск удовлетворить в интересах государства</w:t>
      </w:r>
      <w:r>
        <w:rPr>
          <w:rFonts w:ascii="Times New Roman" w:eastAsia="Times New Roman" w:hAnsi="Times New Roman" w:cs="Times New Roman" w:hint="cs"/>
          <w:color w:val="000000"/>
          <w:sz w:val="28"/>
        </w:rPr>
        <w:t>.</w:t>
      </w:r>
      <w:r>
        <w:rPr>
          <w:rFonts w:ascii="Times New Roman" w:eastAsia="Times New Roman" w:hAnsi="Times New Roman" w:cs="Times New Roman" w:hint="cs"/>
          <w:color w:val="000000"/>
          <w:sz w:val="28"/>
        </w:rPr>
        <w:tab/>
      </w:r>
    </w:p>
    <w:p>
      <w:pPr>
        <w:pBdr>
          <w:top w:val="none" w:sz="0" w:space="0" w:color="auto"/>
          <w:left w:val="none" w:sz="0" w:space="0" w:color="auto"/>
          <w:bottom w:val="none" w:sz="0" w:space="0" w:color="auto"/>
          <w:right w:val="none" w:sz="0" w:space="0" w:color="auto"/>
        </w:pBdr>
        <w:spacing w:before="0" w:after="0"/>
        <w:ind w:left="0" w:right="0" w:firstLine="706"/>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Ответчик извещен по правилам ст</w:t>
      </w:r>
      <w:r>
        <w:rPr>
          <w:rFonts w:ascii="Times New Roman" w:eastAsia="Times New Roman" w:hAnsi="Times New Roman" w:cs="Times New Roman" w:hint="cs"/>
          <w:color w:val="000000"/>
          <w:sz w:val="28"/>
        </w:rPr>
        <w:t xml:space="preserve">атьи </w:t>
      </w:r>
      <w:r>
        <w:rPr>
          <w:rFonts w:ascii="Times New Roman" w:eastAsia="Times New Roman" w:hAnsi="Times New Roman" w:cs="Times New Roman" w:hint="cs"/>
          <w:color w:val="000000"/>
          <w:sz w:val="28"/>
        </w:rPr>
        <w:t>13</w:t>
      </w:r>
      <w:r>
        <w:rPr>
          <w:rFonts w:ascii="Times New Roman" w:eastAsia="Times New Roman" w:hAnsi="Times New Roman" w:cs="Times New Roman" w:hint="cs"/>
          <w:color w:val="000000"/>
          <w:sz w:val="28"/>
        </w:rPr>
        <w:t>3</w:t>
      </w:r>
      <w:r>
        <w:rPr>
          <w:rFonts w:ascii="Times New Roman" w:eastAsia="Times New Roman" w:hAnsi="Times New Roman" w:cs="Times New Roman" w:hint="cs"/>
          <w:color w:val="000000"/>
          <w:sz w:val="28"/>
        </w:rPr>
        <w:t xml:space="preserve"> ГПК РК, дело рассмотрено в его отсутствие.</w:t>
      </w:r>
    </w:p>
    <w:p>
      <w:pPr>
        <w:pBdr>
          <w:top w:val="none" w:sz="0" w:space="0" w:color="auto"/>
          <w:left w:val="none" w:sz="0" w:space="0" w:color="auto"/>
          <w:bottom w:val="none" w:sz="0" w:space="0" w:color="auto"/>
          <w:right w:val="none" w:sz="0" w:space="0" w:color="auto"/>
        </w:pBdr>
        <w:spacing w:before="0" w:after="0"/>
        <w:ind w:left="0" w:right="0"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Представител</w:t>
      </w:r>
      <w:r>
        <w:rPr>
          <w:rFonts w:ascii="Times New Roman" w:eastAsia="Times New Roman" w:hAnsi="Times New Roman" w:cs="Times New Roman" w:hint="cs"/>
          <w:color w:val="000000"/>
          <w:sz w:val="28"/>
        </w:rPr>
        <w:t>ь</w:t>
      </w:r>
      <w:r>
        <w:rPr>
          <w:rFonts w:ascii="Times New Roman" w:eastAsia="Times New Roman" w:hAnsi="Times New Roman" w:cs="Times New Roman" w:hint="cs"/>
          <w:color w:val="000000"/>
          <w:sz w:val="28"/>
        </w:rPr>
        <w:t xml:space="preserve"> ГУ «Департамента юстиции по г.Астана» также в судебное заседание не явился, хотя был надлежащим образом извещен о времени и месте судебного разбирательства. </w:t>
      </w:r>
      <w:r>
        <w:rPr>
          <w:rFonts w:ascii="Times New Roman" w:eastAsia="Times New Roman" w:hAnsi="Times New Roman" w:cs="Times New Roman" w:hint="cs"/>
          <w:color w:val="000000"/>
          <w:sz w:val="28"/>
        </w:rPr>
        <w:t xml:space="preserve">В силу пункта 4 статьи 196 ГПК РК суд, посчитав его неявку неуважительной, переходит к рассмотрению дела в его отсутствие. </w:t>
      </w:r>
    </w:p>
    <w:p>
      <w:pPr>
        <w:pBdr>
          <w:top w:val="none" w:sz="0" w:space="0" w:color="auto"/>
          <w:left w:val="none" w:sz="0" w:space="0" w:color="auto"/>
          <w:bottom w:val="none" w:sz="0" w:space="0" w:color="auto"/>
          <w:right w:val="none" w:sz="0" w:space="0" w:color="auto"/>
        </w:pBdr>
        <w:spacing w:before="0" w:after="0"/>
        <w:ind w:left="0" w:right="0" w:firstLine="706"/>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Представитель РГУ «Департамент государственных доходов</w:t>
      </w:r>
      <w:r>
        <w:rPr>
          <w:rFonts w:ascii="Times New Roman" w:eastAsia="Times New Roman" w:hAnsi="Times New Roman" w:cs="Times New Roman" w:hint="cs"/>
          <w:color w:val="000000"/>
          <w:sz w:val="28"/>
        </w:rPr>
        <w:t xml:space="preserve"> по городу Астана</w:t>
      </w:r>
      <w:r>
        <w:rPr>
          <w:rFonts w:ascii="Times New Roman" w:eastAsia="Times New Roman" w:hAnsi="Times New Roman" w:cs="Times New Roman" w:hint="cs"/>
          <w:color w:val="000000"/>
          <w:sz w:val="28"/>
        </w:rPr>
        <w:t>» Бащыгуров А.О. в суде пояснил, что в ходе</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 xml:space="preserve">проведения оперативно-следственных мероприятий </w:t>
      </w:r>
      <w:r>
        <w:rPr>
          <w:rFonts w:ascii="Times New Roman" w:eastAsia="Times New Roman" w:hAnsi="Times New Roman" w:cs="Times New Roman" w:hint="cs"/>
          <w:color w:val="000000"/>
          <w:sz w:val="28"/>
        </w:rPr>
        <w:t xml:space="preserve">в рамках </w:t>
      </w:r>
      <w:r>
        <w:rPr>
          <w:rFonts w:ascii="Times New Roman" w:eastAsia="Times New Roman" w:hAnsi="Times New Roman" w:cs="Times New Roman" w:hint="cs"/>
          <w:color w:val="000000"/>
          <w:sz w:val="28"/>
        </w:rPr>
        <w:t>досудебного расследования в отношении бывших руководителей ТОО «Лесозащита» по факту уклонения от уплаты налогов, было установлено, что</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ТОО «</w:t>
      </w:r>
      <w:r>
        <w:rPr>
          <w:rFonts w:ascii="Times New Roman" w:eastAsia="Times New Roman" w:hAnsi="Times New Roman" w:cs="Times New Roman" w:hint="cs"/>
          <w:color w:val="000000"/>
          <w:sz w:val="28"/>
        </w:rPr>
        <w:t>Северный Альянс</w:t>
      </w:r>
      <w:r>
        <w:rPr>
          <w:rFonts w:ascii="Times New Roman" w:eastAsia="Times New Roman" w:hAnsi="Times New Roman" w:cs="Times New Roman" w:hint="cs"/>
          <w:color w:val="000000"/>
          <w:sz w:val="28"/>
        </w:rPr>
        <w:t>»</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создано без намерения заниматься законной предпринимательской деятельностью,</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так как отсутствовали товарно -материальные запасы, помещение, автотранспорт и специальная техника, не</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 xml:space="preserve">было штата работников. С момента создания имело единственное финансовое взаимоотношение с ТОО «Лесозащита» и денежные средства были обналичены сразу же после их поступления. При этом в налоговые органы не предоставлены декларации по КПН и НДС. </w:t>
      </w:r>
    </w:p>
    <w:p>
      <w:pPr>
        <w:pBdr>
          <w:top w:val="none" w:sz="0" w:space="0" w:color="auto"/>
          <w:left w:val="none" w:sz="0" w:space="0" w:color="auto"/>
          <w:bottom w:val="none" w:sz="0" w:space="0" w:color="auto"/>
          <w:right w:val="none" w:sz="0" w:space="0" w:color="auto"/>
        </w:pBdr>
        <w:spacing w:before="0" w:after="0"/>
        <w:ind w:left="0" w:right="0" w:firstLine="706"/>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Суд, выслушав объяснения представителей истца</w:t>
      </w:r>
      <w:r>
        <w:rPr>
          <w:rFonts w:ascii="Times New Roman" w:eastAsia="Times New Roman" w:hAnsi="Times New Roman" w:cs="Times New Roman" w:hint="cs"/>
          <w:color w:val="000000"/>
          <w:sz w:val="28"/>
        </w:rPr>
        <w:t>, третьего лица,</w:t>
      </w:r>
      <w:r>
        <w:rPr>
          <w:rFonts w:ascii="Times New Roman" w:eastAsia="Times New Roman" w:hAnsi="Times New Roman" w:cs="Times New Roman" w:hint="cs"/>
          <w:color w:val="000000"/>
          <w:sz w:val="28"/>
        </w:rPr>
        <w:t xml:space="preserve">исследовав представленные доказательства и установив имеющие значение для дела обстоятельства, приходит к следующему. </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Изложенные в исковом заявлении факты достоверно установлены в ходе судебного разбирательства, соответствующие доказательства имеются в материалах дела и свидетельствуют о создании юридического лица с нарушениями законодательства, которые носят неустранимый характер.</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Согласно статье 2 Закона Республики Казахстан «О государственной регистрации юридических лиц и учетной регистрации филиалов и представительств» государственная регистрация юридических лиц осуществляется в целях удостоверения факта создания, перерегистрации, регистрации внесенных изменений и дополнений в учредительные документы, реорганизации и прекращения деятельности юридического лица, учета созданных, перерегистрированных, реорганизованных и прекративших свою деятельность юридических лиц, ведения Национального реестра бизнес-идентификационных номеров,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w:t>
      </w:r>
    </w:p>
    <w:p>
      <w:pPr>
        <w:pBdr>
          <w:top w:val="none" w:sz="0" w:space="0" w:color="auto"/>
          <w:left w:val="none" w:sz="0" w:space="0" w:color="auto"/>
          <w:bottom w:val="none" w:sz="0" w:space="0" w:color="auto"/>
          <w:right w:val="none" w:sz="0" w:space="0" w:color="auto"/>
        </w:pBdr>
        <w:tabs>
          <w:tab w:val="clear" w:pos="720"/>
          <w:tab w:val="left" w:pos="5725"/>
          <w:tab w:val="left" w:pos="5935"/>
          <w:tab w:val="left" w:pos="6663"/>
          <w:tab w:val="left" w:pos="8217"/>
          <w:tab w:val="left" w:pos="8647"/>
          <w:tab w:val="left" w:pos="8789"/>
        </w:tabs>
        <w:spacing w:before="0" w:after="0"/>
        <w:ind w:left="0" w:right="0" w:firstLine="709"/>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Согласно статьи 49 Гражданского кодекса Республики Казахстан по решению суда юридическое лицо может быть ликвидировано в случае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p>
    <w:p>
      <w:pPr>
        <w:pBdr>
          <w:top w:val="none" w:sz="0" w:space="0" w:color="auto"/>
          <w:left w:val="none" w:sz="0" w:space="0" w:color="auto"/>
          <w:bottom w:val="none" w:sz="0" w:space="0" w:color="auto"/>
          <w:right w:val="none" w:sz="0" w:space="0" w:color="auto"/>
        </w:pBdr>
        <w:shd w:val="clear" w:color="auto" w:fill="FFFFFF"/>
        <w:spacing w:before="0" w:after="0"/>
        <w:ind w:left="0" w:right="0"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Таким образом, обстоятельства совершения нарушений законодательства, носящие неустранимый характер при регистрации ТОО, надлежащим образом подтверждены. При этом суд учитывает, что нарушения законодательства со стороны регистрирующего органа отсутствуют.</w:t>
      </w:r>
      <w:r>
        <w:rPr>
          <w:rFonts w:ascii="Times New Roman" w:eastAsia="Times New Roman" w:hAnsi="Times New Roman" w:cs="Times New Roman" w:hint="cs"/>
          <w:color w:val="000000"/>
          <w:sz w:val="28"/>
        </w:rPr>
        <w:t xml:space="preserve">  </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Согласно пункта 24 Нормативного постановления Верховного Суда Республики Казахстан № 1 от 12.01.2009г. «О некоторых вопросах применения законодательства о лжепредпринимательстве» в связи с тем, что лжепредприятие создано лицом без намерения осуществлять предпринимательскую деятельность, государственная регистрация этой коммерческой организации как юридического лица может быть отменена по решению суда. </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Абзацем 6 пункта 5 Нормативного постановления Верховного суда Республики Казахстан от 27 февраля 2013 года № 1 «О судебной практике применения налогового законодательства» предусмотрено, что факт регистрации (перерегистрации) юридического лица на лицо, которое не имеет отношения к его созданию, является основанием для отмены данной регистрации (перерегистрации) по иску прокурора в порядке статьи 55 Гражданского процессуального кодекса Республики Казахстан.</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В силу пункта 3 статьи 55 Гражданского процессуального кодекса Республики Казахстан прокурор вправе обратиться в суд с иском, заявлением о защите прав, свобод и законных интересов граждан, прав и защиты интересов граждан, прав и законных интересов организаций, общественных или государственных интересов.</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Аналогичный норма содержит пункт 1 статьи 23 Закона Республики Казахстан «О Прокуратуре», предусматривающий, что прокурор в соответствии с законодательством вправе обратиться с исковым заявлением для восстановления нарушенных прав и защиты интересов государства, физических и юридических лиц.</w:t>
      </w:r>
    </w:p>
    <w:p>
      <w:pPr>
        <w:pBdr>
          <w:top w:val="none" w:sz="0" w:space="0" w:color="auto"/>
          <w:left w:val="none" w:sz="0" w:space="0" w:color="auto"/>
          <w:bottom w:val="none" w:sz="0" w:space="0" w:color="auto"/>
          <w:right w:val="none" w:sz="0" w:space="0" w:color="auto"/>
        </w:pBdr>
        <w:shd w:val="clear" w:color="auto" w:fill="FFFFFF"/>
        <w:tabs>
          <w:tab w:val="clear" w:pos="720"/>
          <w:tab w:val="left" w:pos="6000"/>
        </w:tabs>
        <w:spacing w:before="0" w:after="0"/>
        <w:ind w:left="0" w:right="0" w:firstLine="709"/>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Таким образом, фактические обстоятельства, согласующиеся с вышеприведенными нормами материального права, являются основанием для удовлетворения иска, ввиду его законности и обоснованности. </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По правилам статьи 117 ГПК РК подлежит отнесению на счет республиканского бюджета государственная пошлина в сумме 991 тенге.</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Исходя из изложенного, руководствуясь статьями 223-226 ГПК Республики Казахстан, суд</w:t>
      </w:r>
    </w:p>
    <w:p>
      <w:pPr>
        <w:pBdr>
          <w:top w:val="none" w:sz="0" w:space="0" w:color="auto"/>
          <w:left w:val="none" w:sz="0" w:space="0" w:color="auto"/>
          <w:bottom w:val="none" w:sz="0" w:space="0" w:color="auto"/>
          <w:right w:val="none" w:sz="0" w:space="0" w:color="auto"/>
        </w:pBdr>
        <w:spacing w:before="0" w:after="0"/>
        <w:ind w:left="0" w:right="-16" w:firstLine="0"/>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 </w:t>
      </w:r>
    </w:p>
    <w:p>
      <w:pPr>
        <w:pBdr>
          <w:top w:val="none" w:sz="0" w:space="0" w:color="auto"/>
          <w:left w:val="none" w:sz="0" w:space="0" w:color="auto"/>
          <w:bottom w:val="none" w:sz="0" w:space="0" w:color="auto"/>
          <w:right w:val="none" w:sz="0" w:space="0" w:color="auto"/>
        </w:pBdr>
        <w:spacing w:before="0" w:after="0"/>
        <w:ind w:left="0" w:right="-16" w:firstLine="0"/>
        <w:jc w:val="center"/>
        <w:rPr>
          <w:rFonts w:ascii="Times New Roman" w:eastAsia="Times New Roman" w:hAnsi="Times New Roman" w:cs="Times New Roman" w:hint="default"/>
          <w:sz w:val="28"/>
        </w:rPr>
      </w:pPr>
      <w:r>
        <w:rPr>
          <w:rFonts w:ascii="Times New Roman" w:eastAsia="Times New Roman" w:hAnsi="Times New Roman" w:cs="Times New Roman" w:hint="cs"/>
          <w:b/>
          <w:color w:val="000000"/>
          <w:sz w:val="28"/>
        </w:rPr>
        <w:t>РЕШИЛ:</w:t>
      </w:r>
    </w:p>
    <w:p>
      <w:pPr>
        <w:pBdr>
          <w:top w:val="none" w:sz="0" w:space="0" w:color="auto"/>
          <w:left w:val="none" w:sz="0" w:space="0" w:color="auto"/>
          <w:bottom w:val="none" w:sz="0" w:space="0" w:color="auto"/>
          <w:right w:val="none" w:sz="0" w:space="0" w:color="auto"/>
        </w:pBdr>
        <w:spacing w:before="0" w:after="0"/>
        <w:ind w:left="0" w:right="-16" w:firstLine="0"/>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 </w:t>
      </w:r>
    </w:p>
    <w:p>
      <w:pPr>
        <w:pBdr>
          <w:top w:val="none" w:sz="0" w:space="0" w:color="auto"/>
          <w:left w:val="none" w:sz="0" w:space="0" w:color="auto"/>
          <w:bottom w:val="none" w:sz="0" w:space="0" w:color="auto"/>
          <w:right w:val="none" w:sz="0" w:space="0" w:color="auto"/>
        </w:pBdr>
        <w:spacing w:before="0" w:after="0"/>
        <w:ind w:left="0" w:right="0"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Иск Акмолинского транспортного прокурора в интересах государства к товариществу с ограниченной ответственностью «Северный Альянс»,</w:t>
      </w:r>
      <w:r>
        <w:rPr>
          <w:rFonts w:ascii="Times New Roman" w:eastAsia="Times New Roman" w:hAnsi="Times New Roman" w:cs="Times New Roman" w:hint="cs"/>
          <w:color w:val="000000"/>
          <w:sz w:val="28"/>
        </w:rPr>
        <w:t xml:space="preserve"> с привлечением третьих лиц, не завляющих самостоятельные требования на предмет спора, государственного учреждения «</w:t>
      </w:r>
      <w:r>
        <w:rPr>
          <w:rFonts w:ascii="Times New Roman" w:eastAsia="Times New Roman" w:hAnsi="Times New Roman" w:cs="Times New Roman" w:hint="cs"/>
          <w:color w:val="000000"/>
          <w:sz w:val="28"/>
        </w:rPr>
        <w:t>Департамент юстиции города Астаны», республиканского государственного учреждения</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«Департамент государственных доходов по городу Астана Комитета государственных доходов Министерства финансов Республики Казахстан» о признании недействительной и отмене государственной регистрации</w:t>
      </w:r>
      <w:r>
        <w:rPr>
          <w:rFonts w:ascii="Times New Roman" w:eastAsia="Times New Roman" w:hAnsi="Times New Roman" w:cs="Times New Roman" w:hint="cs"/>
          <w:color w:val="000000"/>
          <w:sz w:val="28"/>
        </w:rPr>
        <w:t xml:space="preserve"> с </w:t>
      </w:r>
      <w:r>
        <w:rPr>
          <w:rFonts w:ascii="Times New Roman" w:eastAsia="Times New Roman" w:hAnsi="Times New Roman" w:cs="Times New Roman" w:hint="cs"/>
          <w:color w:val="000000"/>
          <w:sz w:val="28"/>
        </w:rPr>
        <w:t>ликвидацией юридического лица</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 удовлетворить.</w:t>
      </w:r>
    </w:p>
    <w:p>
      <w:pPr>
        <w:pBdr>
          <w:top w:val="none" w:sz="0" w:space="0" w:color="auto"/>
          <w:left w:val="none" w:sz="0" w:space="0" w:color="auto"/>
          <w:bottom w:val="none" w:sz="0" w:space="0" w:color="auto"/>
          <w:right w:val="none" w:sz="0" w:space="0" w:color="auto"/>
        </w:pBdr>
        <w:spacing w:before="0" w:after="0"/>
        <w:ind w:left="0" w:right="0"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Признать недействительной и отменить государственную регистрацию ТОО «Северный Альянс» (БИН 100140007166) и произвести</w:t>
      </w:r>
      <w:r>
        <w:rPr>
          <w:rFonts w:ascii="Times New Roman" w:eastAsia="Times New Roman" w:hAnsi="Times New Roman" w:cs="Times New Roman" w:hint="cs"/>
          <w:color w:val="000000"/>
          <w:sz w:val="28"/>
        </w:rPr>
        <w:t xml:space="preserve">  </w:t>
      </w:r>
      <w:r>
        <w:rPr>
          <w:rFonts w:ascii="Times New Roman" w:eastAsia="Times New Roman" w:hAnsi="Times New Roman" w:cs="Times New Roman" w:hint="cs"/>
          <w:color w:val="000000"/>
          <w:sz w:val="28"/>
        </w:rPr>
        <w:t>ликвидацию юридического лица.</w:t>
      </w:r>
    </w:p>
    <w:p>
      <w:pPr>
        <w:pBdr>
          <w:top w:val="none" w:sz="0" w:space="0" w:color="auto"/>
          <w:left w:val="none" w:sz="0" w:space="0" w:color="auto"/>
          <w:bottom w:val="none" w:sz="0" w:space="0" w:color="auto"/>
          <w:right w:val="none" w:sz="0" w:space="0" w:color="auto"/>
        </w:pBdr>
        <w:spacing w:before="0" w:after="0"/>
        <w:ind w:left="0" w:right="-16" w:firstLine="708"/>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Государственную пошлину в сумме 991 (девятьсот девяносто од</w:t>
      </w:r>
      <w:r>
        <w:rPr>
          <w:rFonts w:ascii="Times New Roman" w:eastAsia="Times New Roman" w:hAnsi="Times New Roman" w:cs="Times New Roman" w:hint="cs"/>
          <w:color w:val="000000"/>
          <w:sz w:val="28"/>
        </w:rPr>
        <w:t>ин</w:t>
      </w:r>
      <w:r>
        <w:rPr>
          <w:rFonts w:ascii="Times New Roman" w:eastAsia="Times New Roman" w:hAnsi="Times New Roman" w:cs="Times New Roman" w:hint="cs"/>
          <w:color w:val="000000"/>
          <w:sz w:val="28"/>
        </w:rPr>
        <w:t>) тенге отнести на счет республиканского бюджета.</w:t>
      </w:r>
    </w:p>
    <w:p>
      <w:pPr>
        <w:pBdr>
          <w:top w:val="none" w:sz="0" w:space="0" w:color="auto"/>
          <w:left w:val="none" w:sz="0" w:space="0" w:color="auto"/>
          <w:bottom w:val="none" w:sz="0" w:space="0" w:color="auto"/>
          <w:right w:val="none" w:sz="0" w:space="0" w:color="auto"/>
        </w:pBdr>
        <w:spacing w:before="0" w:after="0"/>
        <w:ind w:left="0" w:right="0" w:firstLine="709"/>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Решение может быть обжаловано или опротестовано в апелляционную судебную коллегию по гражданским и административным делам суда города Астаны в течение одного месяца со дня вынесения решения в окончательной форме через специализированный межрайонный экономический суд города Астаны с соблюдением требований статей 403,404 ГПК Республики Казахстан.</w:t>
      </w:r>
    </w:p>
    <w:p>
      <w:pPr>
        <w:pBdr>
          <w:top w:val="none" w:sz="0" w:space="0" w:color="auto"/>
          <w:left w:val="none" w:sz="0" w:space="0" w:color="auto"/>
          <w:bottom w:val="none" w:sz="0" w:space="0" w:color="auto"/>
          <w:right w:val="none" w:sz="0" w:space="0" w:color="auto"/>
        </w:pBdr>
        <w:spacing w:before="0" w:after="0"/>
        <w:ind w:left="0" w:right="0" w:firstLine="709"/>
        <w:jc w:val="both"/>
        <w:rPr>
          <w:rFonts w:ascii="Times New Roman" w:eastAsia="Times New Roman" w:hAnsi="Times New Roman" w:cs="Times New Roman" w:hint="default"/>
          <w:sz w:val="28"/>
        </w:rPr>
      </w:pPr>
      <w:r>
        <w:rPr>
          <w:rFonts w:ascii="Times New Roman" w:eastAsia="Times New Roman" w:hAnsi="Times New Roman" w:cs="Times New Roman" w:hint="cs"/>
          <w:color w:val="000000"/>
          <w:sz w:val="28"/>
        </w:rPr>
        <w:t xml:space="preserve"> </w:t>
      </w:r>
    </w:p>
    <w:p>
      <w:pPr>
        <w:spacing w:before="240" w:after="0"/>
        <w:rPr>
          <w:rFonts w:ascii="Times New Roman" w:eastAsia="Times New Roman" w:hAnsi="Times New Roman" w:cs="Times New Roman" w:hint="default"/>
          <w:sz w:val="28"/>
        </w:rPr>
      </w:pPr>
      <w:r>
        <w:rPr>
          <w:rFonts w:ascii="Times New Roman" w:eastAsia="Times New Roman" w:hAnsi="Times New Roman" w:cs="Times New Roman" w:hint="cs"/>
          <w:b/>
          <w:color w:val="00000A"/>
          <w:sz w:val="28"/>
          <w:szCs w:val="24"/>
        </w:rPr>
        <w:t>Судья</w:t>
      </w:r>
      <w:r>
        <w:rPr>
          <w:rFonts w:ascii="Times New Roman" w:eastAsia="Times New Roman" w:hAnsi="Times New Roman" w:cs="Times New Roman" w:hint="cs"/>
          <w:b/>
          <w:color w:val="00000A"/>
          <w:sz w:val="28"/>
          <w:szCs w:val="24"/>
        </w:rPr>
        <w:tab/>
      </w:r>
      <w:r>
        <w:rPr>
          <w:rFonts w:ascii="Times New Roman" w:eastAsia="Times New Roman" w:hAnsi="Times New Roman" w:cs="Times New Roman" w:hint="cs"/>
          <w:b/>
          <w:color w:val="00000A"/>
          <w:sz w:val="28"/>
          <w:szCs w:val="24"/>
        </w:rPr>
        <w:tab/>
      </w:r>
      <w:r>
        <w:rPr>
          <w:rFonts w:ascii="Times New Roman" w:eastAsia="Times New Roman" w:hAnsi="Times New Roman" w:cs="Times New Roman" w:hint="cs"/>
          <w:b/>
          <w:color w:val="00000A"/>
          <w:sz w:val="28"/>
          <w:szCs w:val="24"/>
        </w:rPr>
        <w:tab/>
      </w:r>
      <w:r>
        <w:rPr>
          <w:rFonts w:ascii="Times New Roman" w:eastAsia="Times New Roman" w:hAnsi="Times New Roman" w:cs="Times New Roman" w:hint="cs"/>
          <w:b/>
          <w:color w:val="00000A"/>
          <w:sz w:val="28"/>
          <w:szCs w:val="24"/>
        </w:rPr>
        <w:tab/>
      </w:r>
      <w:r>
        <w:rPr>
          <w:rFonts w:ascii="Times New Roman" w:eastAsia="Times New Roman" w:hAnsi="Times New Roman" w:cs="Times New Roman" w:hint="cs"/>
          <w:b/>
          <w:color w:val="00000A"/>
          <w:sz w:val="28"/>
          <w:szCs w:val="24"/>
        </w:rPr>
        <w:tab/>
      </w:r>
      <w:r>
        <w:rPr>
          <w:rFonts w:ascii="Times New Roman" w:eastAsia="Times New Roman" w:hAnsi="Times New Roman" w:cs="Times New Roman" w:hint="cs"/>
          <w:b/>
          <w:color w:val="00000A"/>
          <w:sz w:val="28"/>
          <w:szCs w:val="24"/>
        </w:rPr>
        <w:tab/>
      </w:r>
      <w:r>
        <w:rPr>
          <w:rFonts w:ascii="Times New Roman" w:eastAsia="Times New Roman" w:hAnsi="Times New Roman" w:cs="Times New Roman" w:hint="cs"/>
          <w:b/>
          <w:color w:val="00000A"/>
          <w:sz w:val="28"/>
          <w:szCs w:val="24"/>
        </w:rPr>
        <w:t xml:space="preserve">              </w:t>
      </w:r>
      <w:r>
        <w:rPr>
          <w:rFonts w:ascii="Times New Roman" w:eastAsia="Times New Roman" w:hAnsi="Times New Roman" w:cs="Times New Roman" w:hint="cs"/>
          <w:b/>
          <w:color w:val="00000A"/>
          <w:sz w:val="28"/>
          <w:szCs w:val="24"/>
        </w:rPr>
        <w:t>Жамансариева А. Ш.</w:t>
      </w:r>
    </w:p>
    <w:p>
      <w:pPr>
        <w:spacing w:before="240" w:after="0"/>
        <w:jc w:val="both"/>
      </w:pPr>
    </w:p>
    <w:sectPr>
      <w:headerReference w:type="default" r:id="rId5"/>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ahoma">
    <w:charset w:val="00"/>
    <w:family w:val="auto"/>
    <w:pitch w:val="default"/>
  </w:font>
  <w:font w:name="KodchiangUPC">
    <w:charset w:val="00"/>
    <w:family w:val="auto"/>
    <w:pitch w:val="default"/>
  </w:font>
  <w:font w:name="Times New Roman">
    <w:charset w:val="00"/>
    <w:family w:val="auto"/>
    <w:pitch w:val="default"/>
  </w:font>
  <w:font w:name="Arial">
    <w:charset w:val="00"/>
    <w:family w:val="auto"/>
    <w:pitch w:val="default"/>
  </w:font>
  <w:font w:name="Cambria">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390pt;margin-left:0;margin-top:0;mso-position-horizontal:left;mso-position-horizontal-relative:page;mso-position-vertical:bottom;mso-position-vertical-relative:page;position:absolute;width:400pt;z-index:-251658240">
          <v:imagedata r:id="rId1" o:title=""/>
        </v:shape>
      </w:pict>
    </w:r>
    <w:r>
      <w:pict>
        <v:shape id="_x0000_s2050" type="#_x0000_t75" style="height:600pt;margin-left:5pt;margin-top:50pt;mso-position-horizontal-relative:page;mso-position-vertical-relative:page;position:absolute;width:25pt;z-index:-251657216">
          <v:imagedata r:id="rId2" o:title=""/>
        </v:shape>
      </w:pict>
    </w:r>
    <w:r>
      <w:pict>
        <v:shape id="_x0000_s2051" type="#_x0000_t75" style="height:400pt;margin-left:570pt;margin-top:250pt;mso-position-horizontal-relative:page;mso-position-vertical-relative:page;position:absolute;width:25pt;z-index:-251656192">
          <v:imagedata r:id="rId3" o:title=""/>
        </v:shape>
      </w:pict>
    </w:r>
    <w:r>
      <w:pict>
        <v:shape id="_x0000_s2052" type="#_x0000_t75" style="height:40pt;margin-left:7pt;margin-top:750pt;mso-position-horizontal-relative:page;mso-position-vertical-relative:page;position:absolute;width:40pt;z-index:-251655168">
          <v:imagedata r:id="rId4" o:title=""/>
        </v:shape>
      </w:pict>
    </w:r>
    <w:r>
      <w:pict>
        <v:shape id="_x0000_s2053" type="#_x0000_t75" style="height:25pt;margin-left:11pt;margin-top:790pt;mso-position-horizontal-relative:page;mso-position-vertical-relative:page;position:absolute;width:200pt;z-index:-251654144">
          <v:imagedata r:id="rId5"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hint="default"/>
        <w:color w:val="000000"/>
        <w:spacing w:val="0"/>
        <w:position w:val="0"/>
        <w:sz w:val="22"/>
        <w:szCs w:val="22"/>
        <w:lang w:val="ru-RU" w:eastAsia="ru-RU" w:bidi="ar-SA"/>
      </w:rPr>
    </w:rPrDefault>
    <w:pPrDefault>
      <w:pPr>
        <w:pBdr>
          <w:top w:val="none" w:sz="0" w:space="0" w:color="auto"/>
          <w:left w:val="none" w:sz="0" w:space="0" w:color="auto"/>
          <w:bottom w:val="none" w:sz="0" w:space="0" w:color="auto"/>
          <w:right w:val="none" w:sz="0" w:space="0" w:color="auto"/>
          <w:between w:val="none" w:sz="0" w:space="0" w:color="auto"/>
        </w:pBdr>
        <w:shd w:val="clear" w:color="auto" w:fill="auto"/>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pPr>
    <w:rPr>
      <w:rFonts w:ascii="Times New Roman" w:eastAsia="Times New Roman" w:hAnsi="Times New Roman" w:cs="Times New Roman" w:hint="default"/>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Normal"/>
    <w:next w:val="Normal"/>
    <w:uiPriority w:val="9"/>
    <w:qFormat/>
    <w:pPr>
      <w:keepNext/>
      <w:keepLines/>
      <w:spacing w:before="480" w:after="0"/>
    </w:pPr>
    <w:rPr>
      <w:b/>
      <w:color w:val="000000"/>
      <w:sz w:val="48"/>
    </w:rPr>
  </w:style>
  <w:style w:type="paragraph" w:customStyle="1" w:styleId="Heading2">
    <w:name w:val="Heading 2"/>
    <w:basedOn w:val="Normal"/>
    <w:next w:val="Normal"/>
    <w:uiPriority w:val="9"/>
    <w:unhideWhenUsed/>
    <w:qFormat/>
    <w:pPr>
      <w:keepNext/>
      <w:keepLines/>
      <w:spacing w:before="200" w:after="0"/>
    </w:pPr>
    <w:rPr>
      <w:b/>
      <w:color w:val="000000"/>
      <w:sz w:val="40"/>
    </w:rPr>
  </w:style>
  <w:style w:type="paragraph" w:customStyle="1" w:styleId="Heading3">
    <w:name w:val="Heading 3"/>
    <w:basedOn w:val="Normal"/>
    <w:next w:val="Normal"/>
    <w:uiPriority w:val="9"/>
    <w:unhideWhenUsed/>
    <w:qFormat/>
    <w:pPr>
      <w:keepNext/>
      <w:keepLines/>
      <w:spacing w:before="200" w:after="0"/>
    </w:pPr>
    <w:rPr>
      <w:b/>
      <w:i/>
      <w:color w:val="000000"/>
      <w:sz w:val="36"/>
    </w:rPr>
  </w:style>
  <w:style w:type="paragraph" w:customStyle="1" w:styleId="Heading4">
    <w:name w:val="Heading 4"/>
    <w:basedOn w:val="Normal"/>
    <w:next w:val="Normal"/>
    <w:uiPriority w:val="9"/>
    <w:unhideWhenUsed/>
    <w:qFormat/>
    <w:pPr>
      <w:keepNext/>
      <w:keepLines/>
      <w:spacing w:before="200" w:after="0"/>
    </w:pPr>
    <w:rPr>
      <w:color w:val="232323"/>
      <w:sz w:val="32"/>
    </w:rPr>
  </w:style>
  <w:style w:type="paragraph" w:customStyle="1" w:styleId="Heading5">
    <w:name w:val="Heading 5"/>
    <w:basedOn w:val="Normal"/>
    <w:next w:val="Normal"/>
    <w:uiPriority w:val="9"/>
    <w:unhideWhenUsed/>
    <w:qFormat/>
    <w:pPr>
      <w:keepNext/>
      <w:keepLines/>
      <w:spacing w:before="200" w:after="0"/>
    </w:pPr>
    <w:rPr>
      <w:b/>
      <w:color w:val="444444"/>
      <w:sz w:val="28"/>
    </w:rPr>
  </w:style>
  <w:style w:type="paragraph" w:customStyle="1" w:styleId="Heading6">
    <w:name w:val="Heading 6"/>
    <w:basedOn w:val="Normal"/>
    <w:next w:val="Normal"/>
    <w:uiPriority w:val="9"/>
    <w:unhideWhenUsed/>
    <w:qFormat/>
    <w:pPr>
      <w:keepNext/>
      <w:keepLines/>
      <w:spacing w:before="200" w:after="0"/>
    </w:pPr>
    <w:rPr>
      <w:i/>
      <w:color w:val="232323"/>
      <w:sz w:val="28"/>
    </w:rPr>
  </w:style>
  <w:style w:type="paragraph" w:customStyle="1" w:styleId="Heading7">
    <w:name w:val="Heading 7"/>
    <w:basedOn w:val="Normal"/>
    <w:next w:val="Normal"/>
    <w:uiPriority w:val="9"/>
    <w:unhideWhenUsed/>
    <w:qFormat/>
    <w:pPr>
      <w:keepNext/>
      <w:keepLines/>
      <w:spacing w:before="200" w:after="0"/>
    </w:pPr>
    <w:rPr>
      <w:b/>
      <w:color w:val="606060"/>
      <w:sz w:val="24"/>
    </w:rPr>
  </w:style>
  <w:style w:type="paragraph" w:customStyle="1" w:styleId="Heading8">
    <w:name w:val="Heading 8"/>
    <w:basedOn w:val="Normal"/>
    <w:next w:val="Normal"/>
    <w:uiPriority w:val="9"/>
    <w:unhideWhenUsed/>
    <w:qFormat/>
    <w:pPr>
      <w:keepNext/>
      <w:keepLines/>
      <w:spacing w:before="200" w:after="0"/>
    </w:pPr>
    <w:rPr>
      <w:color w:val="444444"/>
      <w:sz w:val="24"/>
    </w:rPr>
  </w:style>
  <w:style w:type="paragraph" w:customStyle="1" w:styleId="Heading9">
    <w:name w:val="Heading 9"/>
    <w:basedOn w:val="Normal"/>
    <w:next w:val="Normal"/>
    <w:uiPriority w:val="9"/>
    <w:unhideWhenUsed/>
    <w:qFormat/>
    <w:pPr>
      <w:keepNext/>
      <w:keepLines/>
      <w:spacing w:before="200" w:after="0"/>
    </w:pPr>
    <w:rPr>
      <w:i/>
      <w:color w:val="444444"/>
      <w:sz w:val="23"/>
    </w:rPr>
  </w:style>
  <w:style w:type="paragraph" w:styleId="NoSpacing">
    <w:name w:val="No Spacing"/>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Header">
    <w:name w:val="Header"/>
    <w:basedOn w:val="Normal"/>
    <w:uiPriority w:val="99"/>
    <w:unhideWhenUsed/>
    <w:pPr>
      <w:tabs>
        <w:tab w:val="center" w:pos="4677"/>
        <w:tab w:val="right" w:pos="9354"/>
      </w:tabs>
      <w:spacing w:after="0" w:line="240" w:lineRule="auto"/>
    </w:pPr>
    <w:rPr>
      <w:color w:val="000000"/>
      <w:sz w:val="22"/>
    </w:rPr>
  </w:style>
  <w:style w:type="paragraph" w:customStyle="1" w:styleId="Footer">
    <w:name w:val="Footer"/>
    <w:basedOn w:val="Normal"/>
    <w:uiPriority w:val="99"/>
    <w:unhideWhenUsed/>
    <w:pPr>
      <w:tabs>
        <w:tab w:val="center" w:pos="4677"/>
        <w:tab w:val="right" w:pos="9354"/>
      </w:tabs>
      <w:spacing w:after="0" w:line="240" w:lineRule="auto"/>
    </w:pPr>
    <w:rPr>
      <w:color w:val="000000"/>
      <w:sz w:val="22"/>
    </w:rPr>
  </w:style>
  <w:style w:type="table" w:customStyle="1" w:styleId="Lined">
    <w:name w:val="Lined"/>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D9D9D9"/>
      </w:tcPr>
    </w:tblStylePr>
    <w:tblStylePr w:type="band2Vert">
      <w:tcPr>
        <w:shd w:val="clear" w:color="auto" w:fill="D9D9D9"/>
      </w:tcPr>
    </w:tblStylePr>
    <w:tblStylePr w:type="firstCol">
      <w:tcPr>
        <w:shd w:val="clear" w:color="auto" w:fill="A6A6A6"/>
      </w:tcPr>
    </w:tblStylePr>
    <w:tblStylePr w:type="firstRow">
      <w:tcPr>
        <w:shd w:val="clear" w:color="auto" w:fill="A6A6A6"/>
      </w:tcPr>
    </w:tblStylePr>
    <w:tblStylePr w:type="lastCol">
      <w:tcPr>
        <w:shd w:val="clear" w:color="auto" w:fill="A6A6A6"/>
      </w:tcPr>
    </w:tblStylePr>
    <w:tblStylePr w:type="lastRow">
      <w:tcPr>
        <w:shd w:val="clear" w:color="auto" w:fill="A6A6A6"/>
      </w:tcPr>
    </w:tblStylePr>
  </w:style>
  <w:style w:type="table" w:customStyle="1" w:styleId="Lined-Accent1">
    <w:name w:val="Lined - Accent 1"/>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DBE5F1"/>
      </w:tcPr>
    </w:tblStylePr>
    <w:tblStylePr w:type="band2Vert">
      <w:tcPr>
        <w:shd w:val="clear" w:color="auto" w:fill="DBE5F1"/>
      </w:tcPr>
    </w:tblStylePr>
    <w:tblStylePr w:type="firstCol">
      <w:tcPr>
        <w:shd w:val="clear" w:color="auto" w:fill="95B3D7"/>
      </w:tcPr>
    </w:tblStylePr>
    <w:tblStylePr w:type="firstRow">
      <w:tcPr>
        <w:shd w:val="clear" w:color="auto" w:fill="95B3D7"/>
      </w:tcPr>
    </w:tblStylePr>
    <w:tblStylePr w:type="lastCol">
      <w:tcPr>
        <w:shd w:val="clear" w:color="auto" w:fill="95B3D7"/>
      </w:tcPr>
    </w:tblStylePr>
    <w:tblStylePr w:type="lastRow">
      <w:tcPr>
        <w:shd w:val="clear" w:color="auto" w:fill="95B3D7"/>
      </w:tcPr>
    </w:tblStylePr>
  </w:style>
  <w:style w:type="table" w:customStyle="1" w:styleId="Lined-Accent2">
    <w:name w:val="Lined - Accent 2"/>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F2DBDB"/>
      </w:tcPr>
    </w:tblStylePr>
    <w:tblStylePr w:type="band2Vert">
      <w:tcPr>
        <w:shd w:val="clear" w:color="auto" w:fill="F2DBDB"/>
      </w:tcPr>
    </w:tblStylePr>
    <w:tblStylePr w:type="firstCol">
      <w:tcPr>
        <w:shd w:val="clear" w:color="auto" w:fill="D99594"/>
      </w:tcPr>
    </w:tblStylePr>
    <w:tblStylePr w:type="firstRow">
      <w:tcPr>
        <w:shd w:val="clear" w:color="auto" w:fill="D99594"/>
      </w:tcPr>
    </w:tblStylePr>
    <w:tblStylePr w:type="lastCol">
      <w:tcPr>
        <w:shd w:val="clear" w:color="auto" w:fill="D99594"/>
      </w:tcPr>
    </w:tblStylePr>
    <w:tblStylePr w:type="lastRow">
      <w:tcPr>
        <w:shd w:val="clear" w:color="auto" w:fill="D99594"/>
      </w:tcPr>
    </w:tblStylePr>
  </w:style>
  <w:style w:type="table" w:customStyle="1" w:styleId="Lined-Accent3">
    <w:name w:val="Lined - Accent 3"/>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EAF1DD"/>
      </w:tcPr>
    </w:tblStylePr>
    <w:tblStylePr w:type="band2Vert">
      <w:tcPr>
        <w:shd w:val="clear" w:color="auto" w:fill="EAF1DD"/>
      </w:tcPr>
    </w:tblStylePr>
    <w:tblStylePr w:type="firstCol">
      <w:tcPr>
        <w:shd w:val="clear" w:color="auto" w:fill="C2D69B"/>
      </w:tcPr>
    </w:tblStylePr>
    <w:tblStylePr w:type="firstRow">
      <w:tcPr>
        <w:shd w:val="clear" w:color="auto" w:fill="C2D69B"/>
      </w:tcPr>
    </w:tblStylePr>
    <w:tblStylePr w:type="lastCol">
      <w:tcPr>
        <w:shd w:val="clear" w:color="auto" w:fill="C2D69B"/>
      </w:tcPr>
    </w:tblStylePr>
    <w:tblStylePr w:type="lastRow">
      <w:tcPr>
        <w:shd w:val="clear" w:color="auto" w:fill="C2D69B"/>
      </w:tcPr>
    </w:tblStylePr>
  </w:style>
  <w:style w:type="table" w:customStyle="1" w:styleId="Lined-Accent4">
    <w:name w:val="Lined - Accent 4"/>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E5DFEC"/>
      </w:tcPr>
    </w:tblStylePr>
    <w:tblStylePr w:type="band2Vert">
      <w:tcPr>
        <w:shd w:val="clear" w:color="auto" w:fill="E5DFEC"/>
      </w:tcPr>
    </w:tblStylePr>
    <w:tblStylePr w:type="firstCol">
      <w:tcPr>
        <w:shd w:val="clear" w:color="auto" w:fill="B2A1C7"/>
      </w:tcPr>
    </w:tblStylePr>
    <w:tblStylePr w:type="firstRow">
      <w:tcPr>
        <w:shd w:val="clear" w:color="auto" w:fill="B2A1C7"/>
      </w:tcPr>
    </w:tblStylePr>
    <w:tblStylePr w:type="lastCol">
      <w:tcPr>
        <w:shd w:val="clear" w:color="auto" w:fill="B2A1C7"/>
      </w:tcPr>
    </w:tblStylePr>
    <w:tblStylePr w:type="lastRow">
      <w:tcPr>
        <w:shd w:val="clear" w:color="auto" w:fill="B2A1C7"/>
      </w:tcPr>
    </w:tblStylePr>
  </w:style>
  <w:style w:type="table" w:customStyle="1" w:styleId="Lined-Accent5">
    <w:name w:val="Lined - Accent 5"/>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DAEEF3"/>
      </w:tcPr>
    </w:tblStylePr>
    <w:tblStylePr w:type="band2Vert">
      <w:tcPr>
        <w:shd w:val="clear" w:color="auto" w:fill="DAEEF3"/>
      </w:tcPr>
    </w:tblStylePr>
    <w:tblStylePr w:type="firstCol">
      <w:tcPr>
        <w:shd w:val="clear" w:color="auto" w:fill="92CDDC"/>
      </w:tcPr>
    </w:tblStylePr>
    <w:tblStylePr w:type="firstRow">
      <w:tcPr>
        <w:shd w:val="clear" w:color="auto" w:fill="92CDDC"/>
      </w:tcPr>
    </w:tblStylePr>
    <w:tblStylePr w:type="lastCol">
      <w:tcPr>
        <w:shd w:val="clear" w:color="auto" w:fill="92CDDC"/>
      </w:tcPr>
    </w:tblStylePr>
    <w:tblStylePr w:type="lastRow">
      <w:tcPr>
        <w:shd w:val="clear" w:color="auto" w:fill="92CDDC"/>
      </w:tcPr>
    </w:tblStylePr>
  </w:style>
  <w:style w:type="table" w:customStyle="1" w:styleId="Lined-Accent6">
    <w:name w:val="Lined - Accent 6"/>
    <w:basedOn w:val="TableNormal"/>
    <w:uiPriority w:val="99"/>
    <w:pPr>
      <w:spacing w:after="0" w:line="240" w:lineRule="auto"/>
    </w:pPr>
    <w:tblPr>
      <w:tblStyleRowBandSize w:val="1"/>
      <w:tblStyleColBandSize w:val="1"/>
      <w:tblInd w:w="0" w:type="dxa"/>
      <w:tblCellMar>
        <w:top w:w="0" w:type="dxa"/>
        <w:left w:w="1" w:type="dxa"/>
        <w:bottom w:w="0" w:type="dxa"/>
        <w:right w:w="1" w:type="dxa"/>
      </w:tblCellMar>
    </w:tblPr>
    <w:tblStylePr w:type="band2Horz">
      <w:tcPr>
        <w:shd w:val="clear" w:color="auto" w:fill="FDE9E9"/>
      </w:tcPr>
    </w:tblStylePr>
    <w:tblStylePr w:type="band2Vert">
      <w:tcPr>
        <w:shd w:val="clear" w:color="auto" w:fill="FDE9E9"/>
      </w:tcPr>
    </w:tblStylePr>
    <w:tblStylePr w:type="firstCol">
      <w:tcPr>
        <w:shd w:val="clear" w:color="auto" w:fill="FABF8F"/>
      </w:tcPr>
    </w:tblStylePr>
    <w:tblStylePr w:type="firstRow">
      <w:tcPr>
        <w:shd w:val="clear" w:color="auto" w:fill="FABF8F"/>
      </w:tcPr>
    </w:tblStylePr>
    <w:tblStylePr w:type="lastCol">
      <w:tcPr>
        <w:shd w:val="clear" w:color="auto" w:fill="FABF8F"/>
      </w:tcPr>
    </w:tblStylePr>
    <w:tblStylePr w:type="lastRow">
      <w:tcPr>
        <w:shd w:val="clear" w:color="auto" w:fill="FABF8F"/>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 w:type="dxa"/>
        <w:bottom w:w="0" w:type="dxa"/>
        <w:right w:w="1" w:type="dxa"/>
      </w:tblCellMar>
    </w:tblPr>
    <w:tblStylePr w:type="firstCol">
      <w:tcPr>
        <w:tcBorders>
          <w:right w:val="single" w:sz="18" w:space="0" w:color="000000"/>
        </w:tcBorders>
      </w:tcPr>
    </w:tblStylePr>
    <w:tblStylePr w:type="firstRow">
      <w:tcPr>
        <w:tcBorders>
          <w:bottom w:val="single" w:sz="18" w:space="0" w:color="000000"/>
        </w:tcBorders>
      </w:tcPr>
    </w:tblStylePr>
    <w:tblStylePr w:type="lastCol">
      <w:tcPr>
        <w:tcBorders>
          <w:left w:val="single" w:sz="18" w:space="0" w:color="000000"/>
        </w:tcBorders>
      </w:tcPr>
    </w:tblStylePr>
    <w:tblStylePr w:type="lastRow">
      <w:tcPr>
        <w:tcBorders>
          <w:top w:val="single" w:sz="18" w:space="0" w:color="000000"/>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 w:type="dxa"/>
        <w:bottom w:w="0" w:type="dxa"/>
        <w:right w:w="1" w:type="dxa"/>
      </w:tblCellMar>
    </w:tblPr>
    <w:tblStylePr w:type="firstCol">
      <w:tcPr>
        <w:tcBorders>
          <w:right w:val="single" w:sz="18" w:space="0" w:color="365F91"/>
        </w:tcBorders>
      </w:tcPr>
    </w:tblStylePr>
    <w:tblStylePr w:type="firstRow">
      <w:tcPr>
        <w:tcBorders>
          <w:bottom w:val="single" w:sz="18" w:space="0" w:color="365F91"/>
        </w:tcBorders>
      </w:tcPr>
    </w:tblStylePr>
    <w:tblStylePr w:type="lastCol">
      <w:tcPr>
        <w:tcBorders>
          <w:left w:val="single" w:sz="18" w:space="0" w:color="365F91"/>
        </w:tcBorders>
      </w:tcPr>
    </w:tblStylePr>
    <w:tblStylePr w:type="lastRow">
      <w:tcPr>
        <w:tcBorders>
          <w:top w:val="single" w:sz="18" w:space="0" w:color="365F91"/>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 w:type="dxa"/>
        <w:bottom w:w="0" w:type="dxa"/>
        <w:right w:w="1" w:type="dxa"/>
      </w:tblCellMar>
    </w:tblPr>
    <w:tblStylePr w:type="firstCol">
      <w:tcPr>
        <w:tcBorders>
          <w:right w:val="single" w:sz="18" w:space="0" w:color="943634"/>
        </w:tcBorders>
      </w:tcPr>
    </w:tblStylePr>
    <w:tblStylePr w:type="firstRow">
      <w:tcPr>
        <w:tcBorders>
          <w:bottom w:val="single" w:sz="18" w:space="0" w:color="943634"/>
        </w:tcBorders>
      </w:tcPr>
    </w:tblStylePr>
    <w:tblStylePr w:type="lastCol">
      <w:tcPr>
        <w:tcBorders>
          <w:left w:val="single" w:sz="18" w:space="0" w:color="943634"/>
        </w:tcBorders>
      </w:tcPr>
    </w:tblStylePr>
    <w:tblStylePr w:type="lastRow">
      <w:tcPr>
        <w:tcBorders>
          <w:top w:val="single" w:sz="18" w:space="0" w:color="943634"/>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 w:type="dxa"/>
        <w:bottom w:w="0" w:type="dxa"/>
        <w:right w:w="1" w:type="dxa"/>
      </w:tblCellMar>
    </w:tblPr>
    <w:tblStylePr w:type="firstCol">
      <w:tcPr>
        <w:tcBorders>
          <w:right w:val="single" w:sz="18" w:space="0" w:color="76923C"/>
        </w:tcBorders>
      </w:tcPr>
    </w:tblStylePr>
    <w:tblStylePr w:type="firstRow">
      <w:tcPr>
        <w:tcBorders>
          <w:bottom w:val="single" w:sz="18" w:space="0" w:color="76923C"/>
        </w:tcBorders>
      </w:tcPr>
    </w:tblStylePr>
    <w:tblStylePr w:type="lastCol">
      <w:tcPr>
        <w:tcBorders>
          <w:left w:val="single" w:sz="18" w:space="0" w:color="76923C"/>
        </w:tcBorders>
      </w:tcPr>
    </w:tblStylePr>
    <w:tblStylePr w:type="lastRow">
      <w:tcPr>
        <w:tcBorders>
          <w:top w:val="single" w:sz="18" w:space="0" w:color="76923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 w:type="dxa"/>
        <w:bottom w:w="0" w:type="dxa"/>
        <w:right w:w="1" w:type="dxa"/>
      </w:tblCellMar>
    </w:tblPr>
    <w:tblStylePr w:type="firstCol">
      <w:tcPr>
        <w:tcBorders>
          <w:right w:val="single" w:sz="18" w:space="0" w:color="5F497A"/>
        </w:tcBorders>
      </w:tcPr>
    </w:tblStylePr>
    <w:tblStylePr w:type="firstRow">
      <w:tcPr>
        <w:tcBorders>
          <w:bottom w:val="single" w:sz="18" w:space="0" w:color="5F497A"/>
        </w:tcBorders>
      </w:tcPr>
    </w:tblStylePr>
    <w:tblStylePr w:type="lastCol">
      <w:tcPr>
        <w:tcBorders>
          <w:left w:val="single" w:sz="18" w:space="0" w:color="5F497A"/>
        </w:tcBorders>
      </w:tcPr>
    </w:tblStylePr>
    <w:tblStylePr w:type="lastRow">
      <w:tcPr>
        <w:tcBorders>
          <w:top w:val="single" w:sz="18" w:space="0" w:color="5F497A"/>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 w:type="dxa"/>
        <w:bottom w:w="0" w:type="dxa"/>
        <w:right w:w="1" w:type="dxa"/>
      </w:tblCellMar>
    </w:tblPr>
    <w:tblStylePr w:type="firstCol">
      <w:tcPr>
        <w:tcBorders>
          <w:right w:val="single" w:sz="18" w:space="0" w:color="31849B"/>
        </w:tcBorders>
      </w:tcPr>
    </w:tblStylePr>
    <w:tblStylePr w:type="firstRow">
      <w:tcPr>
        <w:tcBorders>
          <w:bottom w:val="single" w:sz="18" w:space="0" w:color="31849B"/>
        </w:tcBorders>
      </w:tcPr>
    </w:tblStylePr>
    <w:tblStylePr w:type="lastCol">
      <w:tcPr>
        <w:tcBorders>
          <w:left w:val="single" w:sz="18" w:space="0" w:color="31849B"/>
        </w:tcBorders>
      </w:tcPr>
    </w:tblStylePr>
    <w:tblStylePr w:type="lastRow">
      <w:tcPr>
        <w:tcBorders>
          <w:top w:val="single" w:sz="18" w:space="0" w:color="31849B"/>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 w:type="dxa"/>
        <w:bottom w:w="0" w:type="dxa"/>
        <w:right w:w="1" w:type="dxa"/>
      </w:tblCellMar>
    </w:tblPr>
    <w:tblStylePr w:type="firstCol">
      <w:tcPr>
        <w:tcBorders>
          <w:right w:val="single" w:sz="18" w:space="0" w:color="E36C0A"/>
        </w:tcBorders>
      </w:tcPr>
    </w:tblStylePr>
    <w:tblStylePr w:type="firstRow">
      <w:tcPr>
        <w:tcBorders>
          <w:bottom w:val="single" w:sz="18" w:space="0" w:color="E36C0A"/>
        </w:tcBorders>
      </w:tcPr>
    </w:tblStylePr>
    <w:tblStylePr w:type="lastCol">
      <w:tcPr>
        <w:tcBorders>
          <w:left w:val="single" w:sz="18" w:space="0" w:color="E36C0A"/>
        </w:tcBorders>
      </w:tcPr>
    </w:tblStylePr>
    <w:tblStylePr w:type="lastRow">
      <w:tcPr>
        <w:tcBorders>
          <w:top w:val="single" w:sz="18" w:space="0" w:color="E36C0A"/>
        </w:tcBorders>
      </w:tcPr>
    </w:tblStylePr>
  </w:style>
  <w:style w:type="table" w:customStyle="1" w:styleId="BorderedLined">
    <w:name w:val="Bordered &amp; Lined"/>
    <w:basedOn w:val="TableNormal"/>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 w:type="dxa"/>
        <w:bottom w:w="0" w:type="dxa"/>
        <w:right w:w="1" w:type="dxa"/>
      </w:tblCellMar>
    </w:tblPr>
    <w:tblStylePr w:type="band2Horz">
      <w:tcPr>
        <w:shd w:val="clear" w:color="auto" w:fill="D9D9D9"/>
      </w:tcPr>
    </w:tblStylePr>
    <w:tblStylePr w:type="band2Vert">
      <w:tcPr>
        <w:shd w:val="clear" w:color="auto" w:fill="D9D9D9"/>
      </w:tcPr>
    </w:tblStylePr>
    <w:tblStylePr w:type="firstCol">
      <w:tcPr>
        <w:shd w:val="clear" w:color="auto" w:fill="A6A6A6"/>
      </w:tcPr>
    </w:tblStylePr>
    <w:tblStylePr w:type="firstRow">
      <w:tcPr>
        <w:shd w:val="clear" w:color="auto" w:fill="A6A6A6"/>
      </w:tcPr>
    </w:tblStylePr>
    <w:tblStylePr w:type="lastCol">
      <w:tcPr>
        <w:shd w:val="clear" w:color="auto" w:fill="A6A6A6"/>
      </w:tcPr>
    </w:tblStylePr>
    <w:tblStylePr w:type="lastRow">
      <w:tcPr>
        <w:shd w:val="clear" w:color="auto" w:fill="A6A6A6"/>
      </w:tcPr>
    </w:tblStylePr>
  </w:style>
  <w:style w:type="table" w:customStyle="1" w:styleId="BorderedLined-Accent1">
    <w:name w:val="Bordered &amp; Lined - Accent 1"/>
    <w:basedOn w:val="TableNormal"/>
    <w:uiPriority w:val="99"/>
    <w:pPr>
      <w:spacing w:after="0" w:line="240" w:lineRule="auto"/>
    </w:p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 w:type="dxa"/>
        <w:bottom w:w="0" w:type="dxa"/>
        <w:right w:w="1" w:type="dxa"/>
      </w:tblCellMar>
    </w:tblPr>
    <w:tblStylePr w:type="band2Horz">
      <w:tcPr>
        <w:shd w:val="clear" w:color="auto" w:fill="DBE5F1"/>
      </w:tcPr>
    </w:tblStylePr>
    <w:tblStylePr w:type="band2Vert">
      <w:tcPr>
        <w:shd w:val="clear" w:color="auto" w:fill="DBE5F1"/>
      </w:tcPr>
    </w:tblStylePr>
    <w:tblStylePr w:type="firstCol">
      <w:tcPr>
        <w:shd w:val="clear" w:color="auto" w:fill="8DB3E2"/>
      </w:tcPr>
    </w:tblStylePr>
    <w:tblStylePr w:type="firstRow">
      <w:tcPr>
        <w:shd w:val="clear" w:color="auto" w:fill="8DB3E2"/>
      </w:tcPr>
    </w:tblStylePr>
    <w:tblStylePr w:type="lastCol">
      <w:tcPr>
        <w:shd w:val="clear" w:color="auto" w:fill="8DB3E2"/>
      </w:tcPr>
    </w:tblStylePr>
    <w:tblStylePr w:type="lastRow">
      <w:tcPr>
        <w:shd w:val="clear" w:color="auto" w:fill="8DB3E2"/>
      </w:tcPr>
    </w:tblStylePr>
  </w:style>
  <w:style w:type="table" w:customStyle="1" w:styleId="BorderedLined-Accent2">
    <w:name w:val="Bordered &amp; Lined - Accent 2"/>
    <w:basedOn w:val="TableNormal"/>
    <w:uiPriority w:val="99"/>
    <w:pPr>
      <w:spacing w:after="0" w:line="240" w:lineRule="auto"/>
    </w:pPr>
    <w:tblPr>
      <w:tblStyleRowBandSize w:val="1"/>
      <w:tblStyleColBandSize w:val="1"/>
      <w:tblInd w:w="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top w:w="0" w:type="dxa"/>
        <w:left w:w="1" w:type="dxa"/>
        <w:bottom w:w="0" w:type="dxa"/>
        <w:right w:w="1" w:type="dxa"/>
      </w:tblCellMar>
    </w:tblPr>
    <w:tblStylePr w:type="band2Horz">
      <w:tcPr>
        <w:shd w:val="clear" w:color="auto" w:fill="F2DBDB"/>
      </w:tcPr>
    </w:tblStylePr>
    <w:tblStylePr w:type="band2Vert">
      <w:tcPr>
        <w:shd w:val="clear" w:color="auto" w:fill="F2DBDB"/>
      </w:tcPr>
    </w:tblStylePr>
    <w:tblStylePr w:type="firstCol">
      <w:tcPr>
        <w:shd w:val="clear" w:color="auto" w:fill="D99594"/>
      </w:tcPr>
    </w:tblStylePr>
    <w:tblStylePr w:type="firstRow">
      <w:tcPr>
        <w:shd w:val="clear" w:color="auto" w:fill="D99594"/>
      </w:tcPr>
    </w:tblStylePr>
    <w:tblStylePr w:type="lastCol">
      <w:tcPr>
        <w:shd w:val="clear" w:color="auto" w:fill="D99594"/>
      </w:tcPr>
    </w:tblStylePr>
    <w:tblStylePr w:type="lastRow">
      <w:tcPr>
        <w:shd w:val="clear" w:color="auto" w:fill="D99594"/>
      </w:tcPr>
    </w:tblStylePr>
  </w:style>
  <w:style w:type="table" w:customStyle="1" w:styleId="BorderedLined-Accent3">
    <w:name w:val="Bordered &amp; Lined - Accent 3"/>
    <w:basedOn w:val="TableNormal"/>
    <w:uiPriority w:val="99"/>
    <w:pPr>
      <w:spacing w:after="0" w:line="240" w:lineRule="auto"/>
    </w:p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0" w:type="dxa"/>
        <w:left w:w="1" w:type="dxa"/>
        <w:bottom w:w="0" w:type="dxa"/>
        <w:right w:w="1" w:type="dxa"/>
      </w:tblCellMar>
    </w:tblPr>
    <w:tblStylePr w:type="band2Horz">
      <w:tcPr>
        <w:shd w:val="clear" w:color="auto" w:fill="EAF1DD"/>
      </w:tcPr>
    </w:tblStylePr>
    <w:tblStylePr w:type="band2Vert">
      <w:tcPr>
        <w:shd w:val="clear" w:color="auto" w:fill="EAF1DD"/>
      </w:tcPr>
    </w:tblStylePr>
    <w:tblStylePr w:type="firstCol">
      <w:tcPr>
        <w:shd w:val="clear" w:color="auto" w:fill="C2D69B"/>
      </w:tcPr>
    </w:tblStylePr>
    <w:tblStylePr w:type="firstRow">
      <w:tcPr>
        <w:shd w:val="clear" w:color="auto" w:fill="C2D69B"/>
      </w:tcPr>
    </w:tblStylePr>
    <w:tblStylePr w:type="lastCol">
      <w:tcPr>
        <w:shd w:val="clear" w:color="auto" w:fill="C2D69B"/>
      </w:tcPr>
    </w:tblStylePr>
    <w:tblStylePr w:type="lastRow">
      <w:tcPr>
        <w:shd w:val="clear" w:color="auto" w:fill="C2D69B"/>
      </w:tcPr>
    </w:tblStylePr>
  </w:style>
  <w:style w:type="table" w:customStyle="1" w:styleId="BorderedLined-Accent4">
    <w:name w:val="Bordered &amp; Lined - Accent 4"/>
    <w:basedOn w:val="TableNormal"/>
    <w:uiPriority w:val="99"/>
    <w:pPr>
      <w:spacing w:after="0" w:line="240" w:lineRule="auto"/>
    </w:pPr>
    <w:tblPr>
      <w:tblStyleRowBandSize w:val="1"/>
      <w:tblStyleColBandSize w:val="1"/>
      <w:tblInd w:w="0"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top w:w="0" w:type="dxa"/>
        <w:left w:w="1" w:type="dxa"/>
        <w:bottom w:w="0" w:type="dxa"/>
        <w:right w:w="1" w:type="dxa"/>
      </w:tblCellMar>
    </w:tblPr>
    <w:tblStylePr w:type="band2Horz">
      <w:tcPr>
        <w:shd w:val="clear" w:color="auto" w:fill="E5DFEC"/>
      </w:tcPr>
    </w:tblStylePr>
    <w:tblStylePr w:type="band2Vert">
      <w:tcPr>
        <w:shd w:val="clear" w:color="auto" w:fill="E5DFEC"/>
      </w:tcPr>
    </w:tblStylePr>
    <w:tblStylePr w:type="firstCol">
      <w:tcPr>
        <w:shd w:val="clear" w:color="auto" w:fill="B2A1C7"/>
      </w:tcPr>
    </w:tblStylePr>
    <w:tblStylePr w:type="firstRow">
      <w:tcPr>
        <w:shd w:val="clear" w:color="auto" w:fill="B2A1C7"/>
      </w:tcPr>
    </w:tblStylePr>
    <w:tblStylePr w:type="lastCol">
      <w:tcPr>
        <w:shd w:val="clear" w:color="auto" w:fill="B2A1C7"/>
      </w:tcPr>
    </w:tblStylePr>
    <w:tblStylePr w:type="lastRow">
      <w:tcPr>
        <w:shd w:val="clear" w:color="auto" w:fill="B2A1C7"/>
      </w:tcPr>
    </w:tblStylePr>
  </w:style>
  <w:style w:type="table" w:customStyle="1" w:styleId="BorderedLined-Accent5">
    <w:name w:val="Bordered &amp; Lined - Accent 5"/>
    <w:basedOn w:val="TableNormal"/>
    <w:uiPriority w:val="99"/>
    <w:pPr>
      <w:spacing w:after="0" w:line="240" w:lineRule="auto"/>
    </w:p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0" w:type="dxa"/>
        <w:left w:w="1" w:type="dxa"/>
        <w:bottom w:w="0" w:type="dxa"/>
        <w:right w:w="1" w:type="dxa"/>
      </w:tblCellMar>
    </w:tblPr>
    <w:tblStylePr w:type="band2Horz">
      <w:tcPr>
        <w:shd w:val="clear" w:color="auto" w:fill="DAEEF3"/>
      </w:tcPr>
    </w:tblStylePr>
    <w:tblStylePr w:type="band2Vert">
      <w:tcPr>
        <w:shd w:val="clear" w:color="auto" w:fill="DAEEF3"/>
      </w:tcPr>
    </w:tblStylePr>
    <w:tblStylePr w:type="firstCol">
      <w:tcPr>
        <w:shd w:val="clear" w:color="auto" w:fill="92CDDC"/>
      </w:tcPr>
    </w:tblStylePr>
    <w:tblStylePr w:type="firstRow">
      <w:tcPr>
        <w:shd w:val="clear" w:color="auto" w:fill="92CDDC"/>
      </w:tcPr>
    </w:tblStylePr>
    <w:tblStylePr w:type="lastCol">
      <w:tcPr>
        <w:shd w:val="clear" w:color="auto" w:fill="92CDDC"/>
      </w:tcPr>
    </w:tblStylePr>
    <w:tblStylePr w:type="lastRow">
      <w:tcPr>
        <w:shd w:val="clear" w:color="auto" w:fill="92CDDC"/>
      </w:tcPr>
    </w:tblStylePr>
  </w:style>
  <w:style w:type="table" w:customStyle="1" w:styleId="BorderedLined-Accent6">
    <w:name w:val="Bordered &amp; Lined - Accent 6"/>
    <w:basedOn w:val="TableNormal"/>
    <w:uiPriority w:val="99"/>
    <w:pPr>
      <w:spacing w:after="0" w:line="240" w:lineRule="auto"/>
    </w:p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0" w:type="dxa"/>
        <w:left w:w="1" w:type="dxa"/>
        <w:bottom w:w="0" w:type="dxa"/>
        <w:right w:w="1" w:type="dxa"/>
      </w:tblCellMar>
    </w:tblPr>
    <w:tblStylePr w:type="band2Horz">
      <w:tcPr>
        <w:shd w:val="clear" w:color="auto" w:fill="FDE9D9"/>
      </w:tcPr>
    </w:tblStylePr>
    <w:tblStylePr w:type="band2Vert">
      <w:tcPr>
        <w:shd w:val="clear" w:color="auto" w:fill="FDE9D9"/>
      </w:tcPr>
    </w:tblStylePr>
    <w:tblStylePr w:type="firstCol">
      <w:tcPr>
        <w:shd w:val="clear" w:color="auto" w:fill="FABF8F"/>
      </w:tcPr>
    </w:tblStylePr>
    <w:tblStylePr w:type="firstRow">
      <w:tcPr>
        <w:shd w:val="clear" w:color="auto" w:fill="FABF8F"/>
      </w:tcPr>
    </w:tblStylePr>
    <w:tblStylePr w:type="lastCol">
      <w:tcPr>
        <w:shd w:val="clear" w:color="auto" w:fill="FABF8F"/>
      </w:tcPr>
    </w:tblStylePr>
    <w:tblStylePr w:type="lastRow">
      <w:tcPr>
        <w:shd w:val="clear" w:color="auto" w:fill="FABF8F"/>
      </w:tcPr>
    </w:tblStylePr>
  </w:style>
  <w:style w:type="character" w:styleId="Hyperlink">
    <w:name w:val="Hyperlink"/>
    <w:uiPriority w:val="99"/>
    <w:unhideWhenUsed/>
    <w:rPr>
      <w:color w:val="0000FF"/>
      <w:u w:val="single"/>
    </w:rPr>
  </w:style>
  <w:style w:type="table" w:customStyle="1" w:styleId="GenStyleDefTableGrid">
    <w:name w:val="GenStyleDefTableGrid"/>
    <w:basedOn w:val="TableNormal"/>
    <w:uiPriority w:val="5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rPr>
      <w:rFonts w:ascii="Times New Roman" w:eastAsia="Times New Roman" w:hAnsi="Times New Roman" w:cs="Times New Roman" w:hint="default"/>
      <w:color w:val="000000"/>
      <w:szCs w:val="20"/>
      <w:lang w:val="ru-RU" w:eastAsia="ru-RU"/>
    </w:rPr>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KodchiangUPC" w:eastAsia="KodchiangUPC" w:hAnsi="KodchiangUPC" w:cs="KodchiangUPC" w:hint="default"/>
      <w:sz w:val="28"/>
      <w:szCs w:val="28"/>
    </w:rPr>
  </w:style>
  <w:style w:type="paragraph" w:customStyle="1" w:styleId="Textbody">
    <w:name w:val="Text body"/>
    <w:basedOn w:val="Normal"/>
    <w:pPr>
      <w:spacing w:after="120"/>
    </w:pPr>
  </w:style>
  <w:style w:type="paragraph" w:styleId="List">
    <w:name w:val="List"/>
    <w:basedOn w:val="Textbody"/>
    <w:rPr>
      <w:rFonts w:cs="KodchiangUPC" w:hint="default"/>
    </w:rPr>
  </w:style>
  <w:style w:type="paragraph" w:styleId="Caption">
    <w:name w:val="caption"/>
    <w:basedOn w:val="Normal"/>
    <w:pPr>
      <w:spacing w:before="120" w:after="120"/>
    </w:pPr>
    <w:rPr>
      <w:rFonts w:cs="KodchiangUPC" w:hint="default"/>
      <w:i/>
      <w:iCs/>
      <w:szCs w:val="24"/>
    </w:rPr>
  </w:style>
  <w:style w:type="paragraph" w:customStyle="1" w:styleId="Index">
    <w:name w:val="Index"/>
    <w:basedOn w:val="Normal"/>
    <w:rPr>
      <w:rFonts w:cs="KodchiangUPC" w:hint="default"/>
    </w:rPr>
  </w:style>
  <w:style w:type="paragraph" w:styleId="ListParagraph">
    <w:name w:val="List Paragraph"/>
    <w:basedOn w:val="Normal"/>
    <w:pPr>
      <w:ind w:left="720"/>
    </w:pPr>
  </w:style>
  <w:style w:type="paragraph" w:styleId="BalloonText">
    <w:name w:val="Balloon Text"/>
    <w:basedOn w:val="Normal"/>
    <w:uiPriority w:val="99"/>
    <w:semiHidden/>
    <w:unhideWhenUsed/>
    <w:pPr>
      <w:spacing w:after="0" w:line="240" w:lineRule="auto"/>
    </w:pPr>
    <w:rPr>
      <w:rFonts w:ascii="Tahoma" w:hAnsi="Tahoma" w:cs="Tahoma" w:hint="default"/>
      <w:sz w:val="16"/>
      <w:szCs w:val="16"/>
    </w:rPr>
  </w:style>
  <w:style w:type="character" w:customStyle="1" w:styleId="a">
    <w:name w:val="Текст выноски Знак"/>
    <w:basedOn w:val="DefaultParagraphFont"/>
    <w:uiPriority w:val="99"/>
    <w:semiHidden/>
    <w:rPr>
      <w:rFonts w:ascii="Tahoma" w:eastAsia="Times New Roman" w:hAnsi="Tahoma" w:cs="Tahoma"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ln>
        <a:ln w="25400" cap="flat" cmpd="sng" algn="ctr">
          <a:solidFill>
            <a:schemeClr val="phClr"/>
          </a:solidFill>
        </a:ln>
        <a:ln w="3810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Ascensio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