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5.0.0 -->
  <w:body>
    <w:p>
      <w:pPr>
        <w:spacing w:before="240" w:after="0"/>
        <w:jc w:val="both"/>
        <w:rPr>
          <w:rFonts w:ascii="Times New Roman" w:eastAsia="Times New Roman" w:hAnsi="Times New Roman" w:cs="Times New Roman" w:hint="cs"/>
          <w:b w:val="0"/>
          <w:color w:val="00000A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  <w:lang w:val="en-US"/>
        </w:rPr>
        <w:t xml:space="preserve"> 2-14862/2015</w:t>
      </w:r>
    </w:p>
    <w:tbl>
      <w:tblPr>
        <w:tblW w:w="1097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65"/>
        <w:gridCol w:w="5812"/>
        <w:gridCol w:w="3000"/>
      </w:tblGrid>
      <w:tr>
        <w:tblPrEx>
          <w:tblW w:w="1097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59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clear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 w:hint="default"/>
                <w:b w:val="0"/>
                <w:color w:val="000000"/>
                <w:sz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clear" w:pos="720"/>
              </w:tabs>
              <w:spacing w:after="0" w:line="240" w:lineRule="auto"/>
              <w:ind w:left="654"/>
              <w:jc w:val="center"/>
              <w:rPr>
                <w:rFonts w:ascii="Times New Roman" w:eastAsia="Times New Roman" w:hAnsi="Times New Roman" w:cs="Times New Roman" w:hint="default"/>
                <w:b w:val="0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 w:hint="default"/>
                <w:b w:val="0"/>
                <w:bCs/>
                <w:color w:val="0070C0"/>
                <w:sz w:val="28"/>
              </w:rPr>
              <w:drawing>
                <wp:inline distT="0" distB="0" distL="0" distR="0">
                  <wp:extent cx="935354" cy="935354"/>
                  <wp:docPr id="1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clear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 w:hint="default"/>
                <w:b w:val="0"/>
                <w:color w:val="000000"/>
                <w:sz w:val="28"/>
              </w:rPr>
            </w:pPr>
          </w:p>
        </w:tc>
      </w:tr>
      <w:tr>
        <w:tblPrEx>
          <w:tblW w:w="1097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tabs>
                <w:tab w:val="clear" w:pos="720"/>
              </w:tabs>
              <w:spacing w:after="0" w:line="212" w:lineRule="atLeast"/>
              <w:jc w:val="center"/>
              <w:rPr>
                <w:rFonts w:ascii="Times New Roman" w:eastAsia="Times New Roman" w:hAnsi="Times New Roman" w:cs="Times New Roman" w:hint="default"/>
                <w:b w:val="0"/>
                <w:color w:val="000000"/>
                <w:sz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tabs>
                <w:tab w:val="clear" w:pos="720"/>
              </w:tabs>
              <w:spacing w:after="0" w:line="212" w:lineRule="atLeast"/>
              <w:ind w:left="688"/>
              <w:jc w:val="center"/>
              <w:rPr>
                <w:rFonts w:ascii="Times New Roman" w:eastAsia="Times New Roman" w:hAnsi="Times New Roman" w:cs="Times New Roman" w:hint="default"/>
                <w:b w:val="0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 w:hint="default"/>
                <w:b w:val="0"/>
                <w:color w:val="000000"/>
                <w:sz w:val="28"/>
                <w:szCs w:val="24"/>
              </w:rPr>
              <w:t>РЕШЕНИЕ</w:t>
            </w:r>
          </w:p>
          <w:p>
            <w:pPr>
              <w:tabs>
                <w:tab w:val="clear" w:pos="720"/>
              </w:tabs>
              <w:spacing w:after="0" w:line="212" w:lineRule="atLeast"/>
              <w:ind w:left="688"/>
              <w:jc w:val="center"/>
              <w:rPr>
                <w:rFonts w:ascii="Times New Roman" w:eastAsia="Times New Roman" w:hAnsi="Times New Roman" w:cs="Times New Roman" w:hint="cs"/>
                <w:b w:val="0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 w:hint="default"/>
                <w:b w:val="0"/>
                <w:color w:val="000000"/>
                <w:sz w:val="28"/>
                <w:szCs w:val="24"/>
              </w:rPr>
              <w:t>ИМЕНЕМ РЕСПУБЛИКИ КАЗАХСТАН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>
            <w:pPr>
              <w:tabs>
                <w:tab w:val="clear" w:pos="720"/>
              </w:tabs>
              <w:spacing w:after="0" w:line="212" w:lineRule="atLeast"/>
              <w:jc w:val="center"/>
              <w:rPr>
                <w:rFonts w:ascii="Times New Roman" w:eastAsia="Times New Roman" w:hAnsi="Times New Roman" w:cs="Times New Roman" w:hint="default"/>
                <w:b w:val="0"/>
                <w:color w:val="000000"/>
                <w:sz w:val="28"/>
              </w:rPr>
            </w:pP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center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3 февраля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2015 года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г. Астана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Специализированный межрайонный экономический суд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города Астаны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составе председательствующего судьи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Кабидолдиной С.С., при секретаре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Ергеш Г.К.,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 участием прокурора Байгозиева Б.Т., представителя истца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Крат Е.В. по доверенности от 16 сентября 2015 года,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представителя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ответчика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Демесинова Б.М. по доверенности от 12 января 2016 года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гражданское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дело по иску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ГККП «Противотуберкулезный диспансер города Астана» акимата города Астаны к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РГКП «Центр по недвижимости по городу Астана КРС и ОПП МЮ РК»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 понуждении выдать технический паспорт и взыскании неустойки,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center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установил: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ГККП «Противотуберкулезный диспансер города Астана» акимата города Астаны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обратилось в суд с иском к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РГКП «Центр по недвижимости по городу Астана КРС и ОПП МЮ РК»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 понуждении выдать технический паспорт и взыскании неустойки, в обоснование иска указало, что 2 сентября 2014 г.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стороны заключили договора на проведение технического обследования за №№248/282, 249/280 и 250/281, в соответствии с которыми ответчико принято обязательство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 проведении технического обследования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объектов недвижимости по адресу: г.Астана, ул.Манаса 14, 14/1, 14/2 в котором располагается предприятие, согласно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п. 3.2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договоров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срок оказания услуги составляет 20 рабочих дней с момента вступления договора в силу,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согласно п.5.1.2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ответчик обязан изготовить технический паспорт в срок в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соответствии с Правилами проведения государственного технического обследования недвижимости имущества и альбомом условных обозначений,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от 9 августа 2010 года №245, однако, договорные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обязательства ответчиком до настоящего времени не исполнены,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просит суд обязать ответчика выдать технический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паспорт на вышеуказанные объекты и выплатить неустойку в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размере 18.042 тенге.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суде представитель истца иск поддержала, просила обязать ответчика выдать технический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паспорт на вышеуказанные объекты и выплатить неустойку в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размере 18.042 тенге.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суде представитель ответчика с иском не согласился, суду пояснил, что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во исполнении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договоров в соответствии со Стандартом государственной услуги «Выдача технического паспорта на объект недвижимость» утвержденный постановлением правительства РК от 31 декабря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2013 года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за №1586, 8 сентября 2014 года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истцом было подано заявление на предоставление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государственной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услуги, во исполнение требований стандарта истцом произведена предоплата в размере 80 процентов,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на общую сумму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285.676 тенге,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3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октября 2014 года в связи с отсутствием доступа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к объекту недвижимости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ответчиком заявление возвращено без исполнения,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9 октября 2014 года истцом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повторно подано заявление на проведение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обследования,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на основании актов обследования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объекта в соответствии с п.п.2.3 договоров в связи с изменением объема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оказываемых услуг составлено дополнительное соглашение от 2 сентября 2014 года, в соответствии с которым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сумма доплаты составила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по трем договорам 620.564 тенге, в связи с отсутствием оплаты, изготовленные технические паспорта на объекты недвижимости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были сданы в архив,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просит суд отказать в удовлетворении иска,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считает,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истцом не были выполнены обязательства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части оплаты стоимости услуг.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Суд, выслушав пояснения представителей сторон,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изучив материалы дела, заключение прокурора,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полагавшего иск подлежащим отклонению, приходит к следующему выводу.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Из материалов дела видно, что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между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ГККП «Противотуберкулезный диспансер города Астана» акимата города Астаны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РГКП «Центр по недвижимости по городу Астана КРС и ОПП МЮ РК»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2 сентября 2014 г. были заключены 3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договора на проведение технического обследования за №№248/282, 249/280 и 250/281, в соответствии с которыми ответчиком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принято обязательство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 проведении технического обследования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объектов недвижимости по адресу: г.Астана, ул.Манаса 14, 14/1, 14/2 в котором располагается предприятие.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соответствии с п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.3 п.п.3.1 договоров,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исполнитель оказывает услуги после наступления всех трех взаимосвязанных условий- обращения заказчика с заявлением (заказом) о проведении технического обследования; получения копий следующих документов – учредительных документов, правоустанавливающих документов на объекты недвижимости, приказ о присвоении адреса,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электронный, бумажный носитель эскизного проекта, документы, подтверждающие полномочия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представителя, удостоверения личности заявителя;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представления документа, подтверждающего поступление 80% оплаты от общей суммы договора.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Согласно п.п.3.2 договоров срок выполнения услуги составляет в течение двадцати рабочих дней с момента вступления договора в силу и обращения заказчика к исполнителю в соответствии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со стандартом государственных услуг.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Дальнейшее продление срока производится в зависимости от категории сложности объекта по согласованию сторон, при этом общий срок не должен превышать 3-х месяцев.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суде представитель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ответчика пояснил, что изначально стоимость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услуг в договорах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была указана на основании сведений истца, однако, после проведения обследования объектов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недвижимости, общий площадь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объектов недвижимости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изменена, с учетом этого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категория сложности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 прейскурант цен, в связи с чем, был составлен новый расчет, однако,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проект дополнительного соглашения к договору и расчет не был представлен истцу.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Из предоставленных сторонами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письменных доказательств видно,что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стоимость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оказываемых услуг изначально была определена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по трем договорам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размере 360.845 тенге, истцом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произведена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предоплата в размере 80% от указанной суммы, однако,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после проведения обследования объекта недвижимости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связи с изменением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общей площади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 категории сложности недвижимости ответчиком был произведен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новый расчет, в соответствии с которым сумма доплаты составила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по трем договорам 620.564 тенге, в связи с отсутствием оплаты, изготовленные технические паспорта на объекты недвижимости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были сданы в архив.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Вместе с тем, согласно п.п.2.3 п.2 договора в случае изменения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объема оказываемых услуг после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проведения обследования (общей площади, категории сложности объекта недвижимости и изменении в прейскуранте цен), стороны оговаривают данные обстоятельства дополнительным соглашением к договору и производят взаимрасчет с учетом данных изменений.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соответствии с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п.4.1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договора выдача технического паспорта производится после поступления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100% оплаты от суммы договора и оформляется актом выполненных работ, который подписывается уполномоченными представителями обеих сторон. Также предусматривается промежуточный акт выполненных работ по предварительным оплатам, который подписывается уполномоченными представителями обеих сторон.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соответствии с п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.1 ст. 683 ГК, по договору возмездного оказания услуг исполнитель обязуется по заданию заказчика оказать услуги (совершить определенные действия или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осуществить определенную деятельность), а заказчик обязуется оплатить эти услуги.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Однако судом установлено, что в нарушение условий договора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 требований законодательства между сторонами отсутствует акт выполненных работ,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тем самым,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стоимость услуг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истцом не была оплачена,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кроме того,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вопрос о подписании дополнительного соглашения не был разрешен,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тогда как согласно п.1 ст. 402 ГК соглашение об изменении договора совершается в той же форме, что и договор,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если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из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законодательства, договора или обычаев делового оборота не вытекает иное.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При указанных обстоятельствах, требование ГККП «Противотуберкулезный диспансер города Астана» акимата города Астаны к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РГКП «Центр по недвижимости по городу Астана КРС и ОПП МЮ РК»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о понуждении выдать технический паспорт заявлено преждевременно, подлежит оставлению без удовлетворения.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Согласно п. 1 ст. 349 ГК РК под нарушением обязательства понимается его неисполнение либо исполнение ненадлежащим образом.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left" w:pos="3780"/>
        </w:tabs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Согласно ст. 293 ГК РК неустойкой (штрафом, пеней) признается определенная законодательством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Поскольку между сторонами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 соответствии с п.п.2.3 не был разрешен вопрос 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заключении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дополнительного соглашения, кроме того,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при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заключении договора стороны п.4.1 предусмотрели порядок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выдачи технического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паспорта после поступления 100% оплаты от суммы договора и при наличии акта выполненных работ,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суд оснований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для удовлетворения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иска ГККП «Противотуберкулезный диспансер города Астана» акимата города Астаны к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РГКП «Центр по недвижимости по городу Астана КРС и ОПП МЮ РК»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взыскании неустойки, не усматривает.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Таким образом, учитывая установленные в ходе рассмотрения дела обстоятельства, иск ГККП «Противотуберкулезный диспансер города Астана» акимата города Астаны к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РГКП «Центр по недвижимости по городу Астана КРС и ОПП МЮ РК»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 понуждении выдать технический паспорт и взыскании неустойки, подлежит оставлению без удовлетворения.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Руководствуясь со ст. ст. 2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23-226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ГПК, суд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center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Решил: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В удовлетворении иска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ГККП «Противотуберкулезный диспансер города Астана» акимата города Астаны к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РГКП «Центр по недвижимости по городу Астана КРС и ОПП МЮ РК»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о понуждении выдать технический паспорт и взыскании неустойки, отказать.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Решение может быть обжаловано сторонами или опротестовано прокурором в апелляционную судебную коллегию по гражданским и административным делам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суда города Астаны в течение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одного месяца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со дня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вынесения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решения в окончательной форме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через специализированный межрайонный экономический суд города Астаны с соблюдением требований ст.ст.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>403, 404 ГПК Республики Казахстан.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 w:firstLine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0"/>
          <w:sz w:val="28"/>
        </w:rPr>
        <w:t xml:space="preserve"> </w:t>
      </w:r>
    </w:p>
    <w:p>
      <w:pPr>
        <w:spacing w:before="240" w:after="0"/>
        <w:rPr>
          <w:rFonts w:ascii="Times New Roman" w:eastAsia="Times New Roman" w:hAnsi="Times New Roman" w:cs="Times New Roman" w:hint="default"/>
          <w:b w:val="0"/>
          <w:sz w:val="28"/>
        </w:rPr>
      </w:pP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</w:rPr>
        <w:t>Судья</w:t>
      </w: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</w:rPr>
        <w:tab/>
      </w: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</w:rPr>
        <w:tab/>
      </w: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</w:rPr>
        <w:tab/>
      </w: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</w:rPr>
        <w:tab/>
      </w: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</w:rPr>
        <w:tab/>
      </w: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</w:rPr>
        <w:tab/>
      </w:r>
      <w:r>
        <w:rPr>
          <w:rFonts w:ascii="Times New Roman" w:eastAsia="Times New Roman" w:hAnsi="Times New Roman" w:cs="Times New Roman" w:hint="cs"/>
          <w:b w:val="0"/>
          <w:color w:val="00000A"/>
          <w:sz w:val="28"/>
          <w:szCs w:val="24"/>
        </w:rPr>
        <w:t>Кабидолдина С. С.</w:t>
      </w:r>
    </w:p>
    <w:p>
      <w:pPr>
        <w:spacing w:before="240" w:after="0"/>
        <w:jc w:val="both"/>
        <w:rPr>
          <w:rFonts w:ascii="Times New Roman" w:eastAsia="Times New Roman" w:hAnsi="Times New Roman" w:cs="Times New Roman" w:hint="default"/>
          <w:b w:val="0"/>
          <w:sz w:val="28"/>
        </w:rPr>
      </w:pPr>
    </w:p>
    <w:sectPr>
      <w:headerReference w:type="default" r:id="rId5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ahoma">
    <w:charset w:val="00"/>
    <w:family w:val="auto"/>
    <w:pitch w:val="default"/>
  </w:font>
  <w:font w:name="KodchiangUPC">
    <w:charset w:val="00"/>
    <w:family w:val="auto"/>
    <w:pitch w:val="default"/>
  </w:font>
  <w:font w:name="Times New Roman">
    <w:charset w:val="00"/>
    <w:family w:val="auto"/>
    <w:pitch w:val="default"/>
  </w:font>
  <w:font w:name="Cambri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390pt;margin-left:0;margin-top:0;mso-position-horizontal:left;mso-position-horizontal-relative:page;mso-position-vertical:bottom;mso-position-vertical-relative:page;position:absolute;width:400pt;z-index:-251658240">
          <v:imagedata r:id="rId1" o:title=""/>
        </v:shape>
      </w:pict>
    </w:r>
    <w:r>
      <w:pict>
        <v:shape id="_x0000_s2050" type="#_x0000_t75" style="height:600pt;margin-left:5pt;margin-top:50pt;mso-position-horizontal-relative:page;mso-position-vertical-relative:page;position:absolute;width:25pt;z-index:-251657216">
          <v:imagedata r:id="rId2" o:title=""/>
        </v:shape>
      </w:pict>
    </w:r>
    <w:r>
      <w:pict>
        <v:shape id="_x0000_s2051" type="#_x0000_t75" style="height:400pt;margin-left:570pt;margin-top:250pt;mso-position-horizontal-relative:page;mso-position-vertical-relative:page;position:absolute;width:25pt;z-index:-251656192">
          <v:imagedata r:id="rId3" o:title=""/>
        </v:shape>
      </w:pict>
    </w:r>
    <w:r>
      <w:pict>
        <v:shape id="_x0000_s2052" type="#_x0000_t75" style="height:40pt;margin-left:7pt;margin-top:750pt;mso-position-horizontal-relative:page;mso-position-vertical-relative:page;position:absolute;width:40pt;z-index:-251655168">
          <v:imagedata r:id="rId4" o:title=""/>
        </v:shape>
      </w:pict>
    </w:r>
    <w:r>
      <w:pict>
        <v:shape id="_x0000_s2053" type="#_x0000_t75" style="height:25pt;margin-left:11pt;margin-top:790pt;mso-position-horizontal-relative:page;mso-position-vertical-relative:page;position:absolute;width:200pt;z-index:-251654144">
          <v:imagedata r:id="rId5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 w:hint="default"/>
        <w:color w:val="000000"/>
        <w:spacing w:val="0"/>
        <w:position w:val="0"/>
        <w:sz w:val="22"/>
        <w:szCs w:val="22"/>
        <w:lang w:val="ru-RU" w:eastAsia="ru-RU" w:bidi="ar-SA"/>
      </w:rPr>
    </w:rPrDefault>
    <w:pPrDefault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beforeAutospacing="0" w:after="200" w:afterAutospacing="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</w:pPr>
    <w:rPr>
      <w:rFonts w:ascii="Times New Roman" w:eastAsia="Times New Roman" w:hAnsi="Times New Roman" w:cs="Times New Roman" w:hint="default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uiPriority w:val="9"/>
    <w:qFormat/>
    <w:pPr>
      <w:keepNext/>
      <w:keepLines/>
      <w:spacing w:before="480" w:after="0"/>
    </w:pPr>
    <w:rPr>
      <w:b/>
      <w:color w:val="000000"/>
      <w:sz w:val="48"/>
    </w:rPr>
  </w:style>
  <w:style w:type="paragraph" w:customStyle="1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</w:pPr>
    <w:rPr>
      <w:b/>
      <w:color w:val="000000"/>
      <w:sz w:val="40"/>
    </w:rPr>
  </w:style>
  <w:style w:type="paragraph" w:customStyle="1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</w:pPr>
    <w:rPr>
      <w:b/>
      <w:i/>
      <w:color w:val="000000"/>
      <w:sz w:val="36"/>
    </w:rPr>
  </w:style>
  <w:style w:type="paragraph" w:customStyle="1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</w:pPr>
    <w:rPr>
      <w:color w:val="232323"/>
      <w:sz w:val="32"/>
    </w:rPr>
  </w:style>
  <w:style w:type="paragraph" w:customStyle="1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</w:pPr>
    <w:rPr>
      <w:b/>
      <w:color w:val="444444"/>
      <w:sz w:val="28"/>
    </w:rPr>
  </w:style>
  <w:style w:type="paragraph" w:customStyle="1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</w:pPr>
    <w:rPr>
      <w:i/>
      <w:color w:val="232323"/>
      <w:sz w:val="28"/>
    </w:rPr>
  </w:style>
  <w:style w:type="paragraph" w:customStyle="1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</w:pPr>
    <w:rPr>
      <w:b/>
      <w:color w:val="606060"/>
      <w:sz w:val="24"/>
    </w:rPr>
  </w:style>
  <w:style w:type="paragraph" w:customStyle="1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</w:pPr>
    <w:rPr>
      <w:color w:val="444444"/>
      <w:sz w:val="24"/>
    </w:rPr>
  </w:style>
  <w:style w:type="paragraph" w:customStyle="1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</w:pPr>
    <w:rPr>
      <w:i/>
      <w:color w:val="444444"/>
      <w:sz w:val="23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Header">
    <w:name w:val="Header"/>
    <w:basedOn w:val="Normal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color w:val="000000"/>
      <w:sz w:val="22"/>
    </w:rPr>
  </w:style>
  <w:style w:type="paragraph" w:customStyle="1" w:styleId="Footer">
    <w:name w:val="Footer"/>
    <w:basedOn w:val="Normal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color w:val="000000"/>
      <w:sz w:val="22"/>
    </w:rPr>
  </w:style>
  <w:style w:type="table" w:customStyle="1" w:styleId="Lined">
    <w:name w:val="Lin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95B3D7"/>
      </w:tcPr>
    </w:tblStylePr>
    <w:tblStylePr w:type="firstRow">
      <w:tcPr>
        <w:shd w:val="clear" w:color="auto" w:fill="95B3D7"/>
      </w:tcPr>
    </w:tblStylePr>
    <w:tblStylePr w:type="lastCol">
      <w:tcPr>
        <w:shd w:val="clear" w:color="auto" w:fill="95B3D7"/>
      </w:tcPr>
    </w:tblStylePr>
    <w:tblStylePr w:type="lastRow">
      <w:tcPr>
        <w:shd w:val="clear" w:color="auto" w:fill="95B3D7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FDE9E9"/>
      </w:tcPr>
    </w:tblStylePr>
    <w:tblStylePr w:type="band2Vert">
      <w:tcPr>
        <w:shd w:val="clear" w:color="auto" w:fill="FDE9E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000000"/>
        </w:tcBorders>
      </w:tcPr>
    </w:tblStylePr>
    <w:tblStylePr w:type="firstRow">
      <w:tcPr>
        <w:tcBorders>
          <w:bottom w:val="single" w:sz="18" w:space="0" w:color="000000"/>
        </w:tcBorders>
      </w:tcPr>
    </w:tblStylePr>
    <w:tblStylePr w:type="lastCol">
      <w:tcPr>
        <w:tcBorders>
          <w:left w:val="single" w:sz="18" w:space="0" w:color="000000"/>
        </w:tcBorders>
      </w:tcPr>
    </w:tblStylePr>
    <w:tblStylePr w:type="lastRow">
      <w:tcPr>
        <w:tcBorders>
          <w:top w:val="single" w:sz="18" w:space="0" w:color="00000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365F91"/>
        </w:tcBorders>
      </w:tcPr>
    </w:tblStylePr>
    <w:tblStylePr w:type="firstRow">
      <w:tcPr>
        <w:tcBorders>
          <w:bottom w:val="single" w:sz="18" w:space="0" w:color="365F91"/>
        </w:tcBorders>
      </w:tcPr>
    </w:tblStylePr>
    <w:tblStylePr w:type="lastCol">
      <w:tcPr>
        <w:tcBorders>
          <w:left w:val="single" w:sz="18" w:space="0" w:color="365F91"/>
        </w:tcBorders>
      </w:tcPr>
    </w:tblStylePr>
    <w:tblStylePr w:type="lastRow">
      <w:tcPr>
        <w:tcBorders>
          <w:top w:val="single" w:sz="18" w:space="0" w:color="365F9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943634"/>
        </w:tcBorders>
      </w:tcPr>
    </w:tblStylePr>
    <w:tblStylePr w:type="firstRow">
      <w:tcPr>
        <w:tcBorders>
          <w:bottom w:val="single" w:sz="18" w:space="0" w:color="943634"/>
        </w:tcBorders>
      </w:tcPr>
    </w:tblStylePr>
    <w:tblStylePr w:type="lastCol">
      <w:tcPr>
        <w:tcBorders>
          <w:left w:val="single" w:sz="18" w:space="0" w:color="943634"/>
        </w:tcBorders>
      </w:tcPr>
    </w:tblStylePr>
    <w:tblStylePr w:type="lastRow">
      <w:tcPr>
        <w:tcBorders>
          <w:top w:val="single" w:sz="18" w:space="0" w:color="943634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76923C"/>
        </w:tcBorders>
      </w:tcPr>
    </w:tblStylePr>
    <w:tblStylePr w:type="firstRow">
      <w:tcPr>
        <w:tcBorders>
          <w:bottom w:val="single" w:sz="18" w:space="0" w:color="76923C"/>
        </w:tcBorders>
      </w:tcPr>
    </w:tblStylePr>
    <w:tblStylePr w:type="lastCol">
      <w:tcPr>
        <w:tcBorders>
          <w:left w:val="single" w:sz="18" w:space="0" w:color="76923C"/>
        </w:tcBorders>
      </w:tcPr>
    </w:tblStylePr>
    <w:tblStylePr w:type="lastRow">
      <w:tcPr>
        <w:tcBorders>
          <w:top w:val="single" w:sz="18" w:space="0" w:color="76923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5F497A"/>
        </w:tcBorders>
      </w:tcPr>
    </w:tblStylePr>
    <w:tblStylePr w:type="firstRow">
      <w:tcPr>
        <w:tcBorders>
          <w:bottom w:val="single" w:sz="18" w:space="0" w:color="5F497A"/>
        </w:tcBorders>
      </w:tcPr>
    </w:tblStylePr>
    <w:tblStylePr w:type="lastCol">
      <w:tcPr>
        <w:tcBorders>
          <w:left w:val="single" w:sz="18" w:space="0" w:color="5F497A"/>
        </w:tcBorders>
      </w:tcPr>
    </w:tblStylePr>
    <w:tblStylePr w:type="lastRow">
      <w:tcPr>
        <w:tcBorders>
          <w:top w:val="single" w:sz="18" w:space="0" w:color="5F497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31849B"/>
        </w:tcBorders>
      </w:tcPr>
    </w:tblStylePr>
    <w:tblStylePr w:type="firstRow">
      <w:tcPr>
        <w:tcBorders>
          <w:bottom w:val="single" w:sz="18" w:space="0" w:color="31849B"/>
        </w:tcBorders>
      </w:tcPr>
    </w:tblStylePr>
    <w:tblStylePr w:type="lastCol">
      <w:tcPr>
        <w:tcBorders>
          <w:left w:val="single" w:sz="18" w:space="0" w:color="31849B"/>
        </w:tcBorders>
      </w:tcPr>
    </w:tblStylePr>
    <w:tblStylePr w:type="lastRow">
      <w:tcPr>
        <w:tcBorders>
          <w:top w:val="single" w:sz="18" w:space="0" w:color="31849B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" w:type="dxa"/>
        <w:bottom w:w="0" w:type="dxa"/>
        <w:right w:w="1" w:type="dxa"/>
      </w:tblCellMar>
    </w:tblPr>
    <w:tblStylePr w:type="firstCol">
      <w:tcPr>
        <w:tcBorders>
          <w:right w:val="single" w:sz="18" w:space="0" w:color="E36C0A"/>
        </w:tcBorders>
      </w:tcPr>
    </w:tblStylePr>
    <w:tblStylePr w:type="firstRow">
      <w:tcPr>
        <w:tcBorders>
          <w:bottom w:val="single" w:sz="18" w:space="0" w:color="E36C0A"/>
        </w:tcBorders>
      </w:tcPr>
    </w:tblStylePr>
    <w:tblStylePr w:type="lastCol">
      <w:tcPr>
        <w:tcBorders>
          <w:left w:val="single" w:sz="18" w:space="0" w:color="E36C0A"/>
        </w:tcBorders>
      </w:tcPr>
    </w:tblStylePr>
    <w:tblStylePr w:type="lastRow">
      <w:tcPr>
        <w:tcBorders>
          <w:top w:val="single" w:sz="18" w:space="0" w:color="E36C0A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8DB3E2"/>
      </w:tcPr>
    </w:tblStylePr>
    <w:tblStylePr w:type="firstRow">
      <w:tcPr>
        <w:shd w:val="clear" w:color="auto" w:fill="8DB3E2"/>
      </w:tcPr>
    </w:tblStylePr>
    <w:tblStylePr w:type="lastCol">
      <w:tcPr>
        <w:shd w:val="clear" w:color="auto" w:fill="8DB3E2"/>
      </w:tcPr>
    </w:tblStylePr>
    <w:tblStylePr w:type="lastRow">
      <w:tcPr>
        <w:shd w:val="clear" w:color="auto" w:fill="8DB3E2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0" w:type="dxa"/>
        <w:left w:w="1" w:type="dxa"/>
        <w:bottom w:w="0" w:type="dxa"/>
        <w:right w:w="1" w:type="dxa"/>
      </w:tblCellMar>
    </w:tblPr>
    <w:tblStylePr w:type="band2Horz">
      <w:tcPr>
        <w:shd w:val="clear" w:color="auto" w:fill="FDE9D9"/>
      </w:tcPr>
    </w:tblStylePr>
    <w:tblStylePr w:type="band2Vert">
      <w:tcPr>
        <w:shd w:val="clear" w:color="auto" w:fill="FDE9D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customStyle="1" w:styleId="GenStyleDefTableGrid">
    <w:name w:val="GenStyleDefTableGrid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rPr>
      <w:rFonts w:ascii="Times New Roman" w:eastAsia="Times New Roman" w:hAnsi="Times New Roman" w:cs="Times New Roman" w:hint="default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KodchiangUPC" w:eastAsia="KodchiangUPC" w:hAnsi="KodchiangUPC" w:cs="KodchiangUPC" w:hint="default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KodchiangUPC" w:hint="default"/>
    </w:rPr>
  </w:style>
  <w:style w:type="paragraph" w:styleId="Caption">
    <w:name w:val="caption"/>
    <w:basedOn w:val="Normal"/>
    <w:pPr>
      <w:spacing w:before="120" w:after="120"/>
    </w:pPr>
    <w:rPr>
      <w:rFonts w:cs="KodchiangUPC" w:hint="default"/>
      <w:i/>
      <w:iCs/>
      <w:szCs w:val="24"/>
    </w:rPr>
  </w:style>
  <w:style w:type="paragraph" w:customStyle="1" w:styleId="Index">
    <w:name w:val="Index"/>
    <w:basedOn w:val="Normal"/>
    <w:rPr>
      <w:rFonts w:cs="KodchiangUPC" w:hint="default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 w:hint="default"/>
      <w:sz w:val="16"/>
      <w:szCs w:val="16"/>
    </w:rPr>
  </w:style>
  <w:style w:type="character" w:customStyle="1" w:styleId="a">
    <w:name w:val="Текст выноски Знак"/>
    <w:basedOn w:val="DefaultParagraphFont"/>
    <w:uiPriority w:val="99"/>
    <w:semiHidden/>
    <w:rPr>
      <w:rFonts w:ascii="Tahoma" w:eastAsia="Times New Roman" w:hAnsi="Tahoma" w:cs="Tahoma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Relationship Id="rId5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Ascensio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