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A34487" w14:textId="608F5151" w:rsidR="0020135A" w:rsidRPr="00813069" w:rsidRDefault="0041564C" w:rsidP="00813069">
      <w:pPr>
        <w:jc w:val="center"/>
        <w:rPr>
          <w:rFonts w:ascii="Times New Roman" w:hAnsi="Times New Roman" w:cs="Times New Roman"/>
          <w:b/>
          <w:bCs/>
          <w:sz w:val="24"/>
          <w:szCs w:val="24"/>
        </w:rPr>
      </w:pPr>
      <w:r>
        <w:rPr>
          <w:rFonts w:ascii="Times New Roman" w:hAnsi="Times New Roman" w:cs="Times New Roman"/>
          <w:b/>
          <w:bCs/>
          <w:sz w:val="24"/>
          <w:szCs w:val="24"/>
        </w:rPr>
        <w:t xml:space="preserve">Юрист по налоговым делам </w:t>
      </w:r>
      <w:r w:rsidR="005828CF" w:rsidRPr="00813069">
        <w:rPr>
          <w:rFonts w:ascii="Times New Roman" w:hAnsi="Times New Roman" w:cs="Times New Roman"/>
          <w:b/>
          <w:bCs/>
          <w:sz w:val="24"/>
          <w:szCs w:val="24"/>
        </w:rPr>
        <w:t>Камеральный контроль</w:t>
      </w:r>
    </w:p>
    <w:p w14:paraId="2CE4E5DB" w14:textId="77777777" w:rsidR="0020135A" w:rsidRPr="00813069" w:rsidRDefault="0020135A" w:rsidP="00A81D5F">
      <w:pPr>
        <w:jc w:val="both"/>
        <w:rPr>
          <w:rFonts w:ascii="Times New Roman" w:hAnsi="Times New Roman" w:cs="Times New Roman"/>
          <w:sz w:val="24"/>
          <w:szCs w:val="24"/>
        </w:rPr>
      </w:pPr>
    </w:p>
    <w:p w14:paraId="0C456007" w14:textId="77777777" w:rsidR="00813069" w:rsidRDefault="0020135A" w:rsidP="00813069">
      <w:pPr>
        <w:ind w:firstLine="720"/>
        <w:jc w:val="both"/>
        <w:rPr>
          <w:rFonts w:ascii="Times New Roman" w:hAnsi="Times New Roman" w:cs="Times New Roman"/>
          <w:sz w:val="24"/>
          <w:szCs w:val="24"/>
        </w:rPr>
      </w:pPr>
      <w:r w:rsidRPr="00813069">
        <w:rPr>
          <w:rFonts w:ascii="Times New Roman" w:hAnsi="Times New Roman" w:cs="Times New Roman"/>
          <w:sz w:val="24"/>
          <w:szCs w:val="24"/>
        </w:rPr>
        <w:t xml:space="preserve">В соответствии с подпунктом 3) пункта 2 статьи 587 Налогового кодекса 2008 года исполнением уведомления по результатам камерального контроля признавалось представление налогоплательщиком жалобы на действия (бездействие) должностных лиц налоговых органов по направлению такого уведомления. Пример – дело по заявлению АО «С». АО «С» оспорило в суде уведомление УГД по Меркенскому району ДГД по Жамбылской области от 5 августа 2016 года, вынесенное по результатам камерального контроля. В уведомлении указывалось на нарушения, выявленные по налоговой отчетности по налогу на добычу полезных ископаемых за период с 1 января по 31 марта 2016 года. К уведомлению составлен протокол выявленных ошибок, согласно которому установлено неправильное применение ставки по налогу на добычу полезных ископаемых (подземных вод). </w:t>
      </w:r>
    </w:p>
    <w:p w14:paraId="74352DDD" w14:textId="77777777" w:rsidR="00813069" w:rsidRDefault="0020135A" w:rsidP="00813069">
      <w:pPr>
        <w:ind w:firstLine="720"/>
        <w:jc w:val="both"/>
        <w:rPr>
          <w:rFonts w:ascii="Times New Roman" w:hAnsi="Times New Roman" w:cs="Times New Roman"/>
          <w:sz w:val="24"/>
          <w:szCs w:val="24"/>
        </w:rPr>
      </w:pPr>
      <w:r w:rsidRPr="00813069">
        <w:rPr>
          <w:rFonts w:ascii="Times New Roman" w:hAnsi="Times New Roman" w:cs="Times New Roman"/>
          <w:sz w:val="24"/>
          <w:szCs w:val="24"/>
        </w:rPr>
        <w:t xml:space="preserve">Сумма нарушения 45 945 093 тенге. Решением специализированного межрайонного экономического суда Жамбылской области от 22 сентября 2016 года заявление удовлетворено частично. Признано незаконным и отменено уведомление об устранении нарушений, выявленных по результатам камерального контроля, от 5 августа 2016 года в части начисления по налогу на добычу полезных ископаемых (подземных вод) суммы 19 025 471 тенге. При разрешении настоящего спора судом первой инстанции допущены следующие нарушения. Во-первых, суд незаконно рассмотрел дело по существу. </w:t>
      </w:r>
    </w:p>
    <w:p w14:paraId="66310973" w14:textId="77777777" w:rsidR="00813069" w:rsidRDefault="0020135A" w:rsidP="00813069">
      <w:pPr>
        <w:ind w:firstLine="720"/>
        <w:jc w:val="both"/>
        <w:rPr>
          <w:rFonts w:ascii="Times New Roman" w:hAnsi="Times New Roman" w:cs="Times New Roman"/>
          <w:sz w:val="24"/>
          <w:szCs w:val="24"/>
        </w:rPr>
      </w:pPr>
      <w:r w:rsidRPr="00813069">
        <w:rPr>
          <w:rFonts w:ascii="Times New Roman" w:hAnsi="Times New Roman" w:cs="Times New Roman"/>
          <w:sz w:val="24"/>
          <w:szCs w:val="24"/>
        </w:rPr>
        <w:t xml:space="preserve">Производство по делу подлежало прекращению, поскольку до обращения в суд, налогоплательщик подал жалобу в областной Департамент. При таких обстоятельствах в силу подпункта 3) пункта 2 статьи 587 Налогового кодекса уведомление подлежало признанию исполненным. Согласно пункту 2 статьи 65 Закона Республики Казахстан «О правовых актах», правовой акт индивидуального применения прекращает действие с момента исполнения его требований или содержащихся в нем поручений лицами, которым адресован данный правовой акт. </w:t>
      </w:r>
    </w:p>
    <w:p w14:paraId="14BC80E8" w14:textId="77777777" w:rsidR="00813069" w:rsidRDefault="0020135A" w:rsidP="00813069">
      <w:pPr>
        <w:ind w:firstLine="720"/>
        <w:jc w:val="both"/>
        <w:rPr>
          <w:rFonts w:ascii="Times New Roman" w:hAnsi="Times New Roman" w:cs="Times New Roman"/>
          <w:sz w:val="24"/>
          <w:szCs w:val="24"/>
        </w:rPr>
      </w:pPr>
      <w:r w:rsidRPr="00813069">
        <w:rPr>
          <w:rFonts w:ascii="Times New Roman" w:hAnsi="Times New Roman" w:cs="Times New Roman"/>
          <w:sz w:val="24"/>
          <w:szCs w:val="24"/>
        </w:rPr>
        <w:t xml:space="preserve">В этой связи с учетом части первой статьи 293 ГПК заявление налогоплательщика об оспаривании уведомления по результатам камерального </w:t>
      </w:r>
      <w:proofErr w:type="gramStart"/>
      <w:r w:rsidRPr="00813069">
        <w:rPr>
          <w:rFonts w:ascii="Times New Roman" w:hAnsi="Times New Roman" w:cs="Times New Roman"/>
          <w:sz w:val="24"/>
          <w:szCs w:val="24"/>
        </w:rPr>
        <w:t>контроля,  исполненного</w:t>
      </w:r>
      <w:proofErr w:type="gramEnd"/>
      <w:r w:rsidRPr="00813069">
        <w:rPr>
          <w:rFonts w:ascii="Times New Roman" w:hAnsi="Times New Roman" w:cs="Times New Roman"/>
          <w:sz w:val="24"/>
          <w:szCs w:val="24"/>
        </w:rPr>
        <w:t xml:space="preserve"> им, не подлежало рассмотрению и разрешению в порядке гражданского судопроизводства. Следует отметить, что постановлением судебной коллегии по гражданским делам Жамбылского областного суда от 28 ноября 2016 года решение суда отменено и производство по делу прекращено на основании подпункта 1) статьи 277 ГПК. Во-вторых, оспариваемое уведомление не могло быть признано незаконным и отменено в части, тем более – в части начисления налога. </w:t>
      </w:r>
    </w:p>
    <w:p w14:paraId="7CCBB108" w14:textId="31FBB6A8" w:rsidR="00813069" w:rsidRDefault="0020135A" w:rsidP="00813069">
      <w:pPr>
        <w:ind w:firstLine="720"/>
        <w:jc w:val="both"/>
        <w:rPr>
          <w:rFonts w:ascii="Times New Roman" w:hAnsi="Times New Roman" w:cs="Times New Roman"/>
          <w:sz w:val="24"/>
          <w:szCs w:val="24"/>
        </w:rPr>
      </w:pPr>
      <w:r w:rsidRPr="00813069">
        <w:rPr>
          <w:rFonts w:ascii="Times New Roman" w:hAnsi="Times New Roman" w:cs="Times New Roman"/>
          <w:sz w:val="24"/>
          <w:szCs w:val="24"/>
        </w:rPr>
        <w:t xml:space="preserve">Уведомление содержало </w:t>
      </w:r>
      <w:hyperlink r:id="rId6" w:history="1">
        <w:r w:rsidRPr="00700F05">
          <w:rPr>
            <w:rStyle w:val="aa"/>
            <w:rFonts w:ascii="Times New Roman" w:hAnsi="Times New Roman" w:cs="Times New Roman"/>
            <w:sz w:val="24"/>
            <w:szCs w:val="24"/>
          </w:rPr>
          <w:t>указание на наличие нарушений в налоговой отчетности по</w:t>
        </w:r>
      </w:hyperlink>
      <w:r w:rsidRPr="00813069">
        <w:rPr>
          <w:rFonts w:ascii="Times New Roman" w:hAnsi="Times New Roman" w:cs="Times New Roman"/>
          <w:sz w:val="24"/>
          <w:szCs w:val="24"/>
        </w:rPr>
        <w:t xml:space="preserve"> налогу на добычу полезных ископаемых ввиду неправильного применения налогоплательщиком ставки налога, установленной статьей 342 Налогового кодекса. Суду следовало выяснить, имелись ли у налогового органа предусмотренные законом основания для вынесения указанного уведомления. </w:t>
      </w:r>
    </w:p>
    <w:p w14:paraId="76F38917" w14:textId="77777777" w:rsidR="00813069" w:rsidRDefault="0020135A" w:rsidP="00813069">
      <w:pPr>
        <w:ind w:firstLine="720"/>
        <w:jc w:val="both"/>
        <w:rPr>
          <w:rFonts w:ascii="Times New Roman" w:hAnsi="Times New Roman" w:cs="Times New Roman"/>
          <w:sz w:val="24"/>
          <w:szCs w:val="24"/>
        </w:rPr>
      </w:pPr>
      <w:r w:rsidRPr="00813069">
        <w:rPr>
          <w:rFonts w:ascii="Times New Roman" w:hAnsi="Times New Roman" w:cs="Times New Roman"/>
          <w:sz w:val="24"/>
          <w:szCs w:val="24"/>
        </w:rPr>
        <w:t xml:space="preserve">Следует отметить, что действующим Налоговым кодексом подача указанной выше жалобы исполнением уведомления по результатам камерального контроля не признается (пункт 2 статьи 96). Налоговым законодательством установлено, что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Налоговым кодексом (пункт 1 </w:t>
      </w:r>
      <w:r w:rsidRPr="00813069">
        <w:rPr>
          <w:rFonts w:ascii="Times New Roman" w:hAnsi="Times New Roman" w:cs="Times New Roman"/>
          <w:sz w:val="24"/>
          <w:szCs w:val="24"/>
        </w:rPr>
        <w:lastRenderedPageBreak/>
        <w:t xml:space="preserve">статьи 307 Налогового кодекса 2008 года, пункт 1 статьи 720 Налогового кодекса 2017 года). Проведенный анализ показал, что наибольшее количество споров возникает по вопросам определения недропользователями своих налоговых обязательств по корпоративному подоходному налогу. </w:t>
      </w:r>
    </w:p>
    <w:p w14:paraId="46527E14" w14:textId="77777777" w:rsidR="00813069" w:rsidRDefault="0020135A" w:rsidP="00813069">
      <w:pPr>
        <w:ind w:firstLine="720"/>
        <w:jc w:val="both"/>
        <w:rPr>
          <w:rFonts w:ascii="Times New Roman" w:hAnsi="Times New Roman" w:cs="Times New Roman"/>
          <w:sz w:val="24"/>
          <w:szCs w:val="24"/>
        </w:rPr>
      </w:pPr>
      <w:r w:rsidRPr="00813069">
        <w:rPr>
          <w:rFonts w:ascii="Times New Roman" w:hAnsi="Times New Roman" w:cs="Times New Roman"/>
          <w:sz w:val="24"/>
          <w:szCs w:val="24"/>
        </w:rPr>
        <w:t xml:space="preserve">Налоговым законодательством для недропользователей установлены особенности исчисления КПН, в том числе: - установлено отдельное исчисление КПН по каждому отдельному контракту на недропользование (за исключением </w:t>
      </w:r>
      <w:proofErr w:type="spellStart"/>
      <w:r w:rsidRPr="00813069">
        <w:rPr>
          <w:rFonts w:ascii="Times New Roman" w:hAnsi="Times New Roman" w:cs="Times New Roman"/>
          <w:sz w:val="24"/>
          <w:szCs w:val="24"/>
        </w:rPr>
        <w:t>ОПИи</w:t>
      </w:r>
      <w:proofErr w:type="spellEnd"/>
      <w:r w:rsidRPr="00813069">
        <w:rPr>
          <w:rFonts w:ascii="Times New Roman" w:hAnsi="Times New Roman" w:cs="Times New Roman"/>
          <w:sz w:val="24"/>
          <w:szCs w:val="24"/>
        </w:rPr>
        <w:t xml:space="preserve"> ПВ). Отдельно рассчитывается КПН по </w:t>
      </w:r>
      <w:proofErr w:type="spellStart"/>
      <w:r w:rsidRPr="00813069">
        <w:rPr>
          <w:rFonts w:ascii="Times New Roman" w:hAnsi="Times New Roman" w:cs="Times New Roman"/>
          <w:sz w:val="24"/>
          <w:szCs w:val="24"/>
        </w:rPr>
        <w:t>внеконтрактной</w:t>
      </w:r>
      <w:proofErr w:type="spellEnd"/>
      <w:r w:rsidRPr="00813069">
        <w:rPr>
          <w:rFonts w:ascii="Times New Roman" w:hAnsi="Times New Roman" w:cs="Times New Roman"/>
          <w:sz w:val="24"/>
          <w:szCs w:val="24"/>
        </w:rPr>
        <w:t xml:space="preserve"> деятельности; - для целей отдельного исчисления налогов недропользователь обязан вести раздельный налоговый учет; - особый порядок определения дохода при использовании ПИ для собственных нужд; - установлен отдельный порядок учета и отнесения на вычеты расходов на геологоразведочные работы и подготовительные работы к добыче; - установлен отдельный порядок учета и отнесения на вычеты по ликвидационному фонду и производимым за счет его средств расходам; - установлен отдельный порядок учета расходов на обучение казахстанских кадров;</w:t>
      </w:r>
      <w:r w:rsidR="002E0A89" w:rsidRPr="00813069">
        <w:rPr>
          <w:rFonts w:ascii="Times New Roman" w:hAnsi="Times New Roman" w:cs="Times New Roman"/>
          <w:sz w:val="24"/>
          <w:szCs w:val="24"/>
        </w:rPr>
        <w:t xml:space="preserve"> - установлен отдельный порядок учета расходов по налогам и платежам; - установлен отдельный порядок по сроку исковой давности и отдельный порядок хранения учетной документации. 1. Как указано выше, при наличии нескольких контрактов на недропользование недропользователь должен вести учет объектов налогообложения и (или) объектов, связанных с налогообложением, и определять свои налоговые обязательства по каждому контракту раздельно. </w:t>
      </w:r>
    </w:p>
    <w:p w14:paraId="2672FCC5" w14:textId="77777777" w:rsidR="00700F05" w:rsidRDefault="002E0A89" w:rsidP="00813069">
      <w:pPr>
        <w:ind w:firstLine="720"/>
        <w:jc w:val="both"/>
        <w:rPr>
          <w:rFonts w:ascii="Times New Roman" w:hAnsi="Times New Roman" w:cs="Times New Roman"/>
          <w:sz w:val="24"/>
          <w:szCs w:val="24"/>
        </w:rPr>
      </w:pPr>
      <w:r w:rsidRPr="00813069">
        <w:rPr>
          <w:rFonts w:ascii="Times New Roman" w:hAnsi="Times New Roman" w:cs="Times New Roman"/>
          <w:sz w:val="24"/>
          <w:szCs w:val="24"/>
        </w:rPr>
        <w:t>Нарушение данного правила признается нарушением норм налогового законодательства и влечет определенные правовые последствия для налогоплательщика. Так, по делу по заявлению ТОО «Б» об оспаривании уведомления Департамента государственных доходов по городу Алматы от 1 октября 2015 года № 2787 был установлен факт реализации Товариществом в 2010 году нефти с ресурсов месторождений «</w:t>
      </w:r>
      <w:proofErr w:type="spellStart"/>
      <w:r w:rsidRPr="00813069">
        <w:rPr>
          <w:rFonts w:ascii="Times New Roman" w:hAnsi="Times New Roman" w:cs="Times New Roman"/>
          <w:sz w:val="24"/>
          <w:szCs w:val="24"/>
        </w:rPr>
        <w:t>Каратурун</w:t>
      </w:r>
      <w:proofErr w:type="spellEnd"/>
      <w:r w:rsidRPr="00813069">
        <w:rPr>
          <w:rFonts w:ascii="Times New Roman" w:hAnsi="Times New Roman" w:cs="Times New Roman"/>
          <w:sz w:val="24"/>
          <w:szCs w:val="24"/>
        </w:rPr>
        <w:t xml:space="preserve"> Восточный» и «</w:t>
      </w:r>
      <w:proofErr w:type="spellStart"/>
      <w:r w:rsidRPr="00813069">
        <w:rPr>
          <w:rFonts w:ascii="Times New Roman" w:hAnsi="Times New Roman" w:cs="Times New Roman"/>
          <w:sz w:val="24"/>
          <w:szCs w:val="24"/>
        </w:rPr>
        <w:t>Каратурун</w:t>
      </w:r>
      <w:proofErr w:type="spellEnd"/>
      <w:r w:rsidRPr="00813069">
        <w:rPr>
          <w:rFonts w:ascii="Times New Roman" w:hAnsi="Times New Roman" w:cs="Times New Roman"/>
          <w:sz w:val="24"/>
          <w:szCs w:val="24"/>
        </w:rPr>
        <w:t xml:space="preserve"> Морской». </w:t>
      </w:r>
    </w:p>
    <w:p w14:paraId="00379CCD" w14:textId="26B60629" w:rsidR="00A81D5F" w:rsidRPr="00813069" w:rsidRDefault="002E0A89" w:rsidP="00813069">
      <w:pPr>
        <w:ind w:firstLine="720"/>
        <w:jc w:val="both"/>
        <w:rPr>
          <w:rFonts w:ascii="Times New Roman" w:hAnsi="Times New Roman" w:cs="Times New Roman"/>
          <w:sz w:val="24"/>
          <w:szCs w:val="24"/>
        </w:rPr>
      </w:pPr>
      <w:r w:rsidRPr="00813069">
        <w:rPr>
          <w:rFonts w:ascii="Times New Roman" w:hAnsi="Times New Roman" w:cs="Times New Roman"/>
          <w:sz w:val="24"/>
          <w:szCs w:val="24"/>
        </w:rPr>
        <w:t xml:space="preserve">Однако </w:t>
      </w:r>
      <w:hyperlink r:id="rId7" w:history="1">
        <w:r w:rsidRPr="00700F05">
          <w:rPr>
            <w:rStyle w:val="aa"/>
            <w:rFonts w:ascii="Times New Roman" w:hAnsi="Times New Roman" w:cs="Times New Roman"/>
            <w:sz w:val="24"/>
            <w:szCs w:val="24"/>
          </w:rPr>
          <w:t>корректировка дохода от реализации произведена только для исчисления</w:t>
        </w:r>
      </w:hyperlink>
      <w:r w:rsidRPr="00813069">
        <w:rPr>
          <w:rFonts w:ascii="Times New Roman" w:hAnsi="Times New Roman" w:cs="Times New Roman"/>
          <w:sz w:val="24"/>
          <w:szCs w:val="24"/>
        </w:rPr>
        <w:t xml:space="preserve"> налогооблагаемого дохода по контракту «</w:t>
      </w:r>
      <w:proofErr w:type="spellStart"/>
      <w:r w:rsidRPr="00813069">
        <w:rPr>
          <w:rFonts w:ascii="Times New Roman" w:hAnsi="Times New Roman" w:cs="Times New Roman"/>
          <w:sz w:val="24"/>
          <w:szCs w:val="24"/>
        </w:rPr>
        <w:t>Каратурун</w:t>
      </w:r>
      <w:proofErr w:type="spellEnd"/>
      <w:r w:rsidRPr="00813069">
        <w:rPr>
          <w:rFonts w:ascii="Times New Roman" w:hAnsi="Times New Roman" w:cs="Times New Roman"/>
          <w:sz w:val="24"/>
          <w:szCs w:val="24"/>
        </w:rPr>
        <w:t xml:space="preserve"> Восточный» по КПН за 2010 год на сумму 212 631 039 тенге. При этом заявитель ссылался на данные бухгалтерского учета и первичные документы. Между тем налоговый орган исходил из данных отчета «Баланс нефти ТОО «Б» за 2010 год. По результатам проверки указанная сумма дохода распределена на оба контракта, произведено уменьшение СГД по контракту «</w:t>
      </w:r>
      <w:proofErr w:type="spellStart"/>
      <w:r w:rsidRPr="00813069">
        <w:rPr>
          <w:rFonts w:ascii="Times New Roman" w:hAnsi="Times New Roman" w:cs="Times New Roman"/>
          <w:sz w:val="24"/>
          <w:szCs w:val="24"/>
        </w:rPr>
        <w:t>Каратурун</w:t>
      </w:r>
      <w:proofErr w:type="spellEnd"/>
      <w:r w:rsidRPr="00813069">
        <w:rPr>
          <w:rFonts w:ascii="Times New Roman" w:hAnsi="Times New Roman" w:cs="Times New Roman"/>
          <w:sz w:val="24"/>
          <w:szCs w:val="24"/>
        </w:rPr>
        <w:t xml:space="preserve"> Восточный» за 2010 год на сумму 111 110 174 тенге и на эту же сумму увеличен СГД по контракту «</w:t>
      </w:r>
      <w:proofErr w:type="spellStart"/>
      <w:r w:rsidRPr="00813069">
        <w:rPr>
          <w:rFonts w:ascii="Times New Roman" w:hAnsi="Times New Roman" w:cs="Times New Roman"/>
          <w:sz w:val="24"/>
          <w:szCs w:val="24"/>
        </w:rPr>
        <w:t>Каратурун</w:t>
      </w:r>
      <w:proofErr w:type="spellEnd"/>
      <w:r w:rsidRPr="00813069">
        <w:rPr>
          <w:rFonts w:ascii="Times New Roman" w:hAnsi="Times New Roman" w:cs="Times New Roman"/>
          <w:sz w:val="24"/>
          <w:szCs w:val="24"/>
        </w:rPr>
        <w:t xml:space="preserve"> Морской».</w:t>
      </w:r>
      <w:r w:rsidR="00CF5BD5" w:rsidRPr="00813069">
        <w:rPr>
          <w:rFonts w:ascii="Times New Roman" w:hAnsi="Times New Roman" w:cs="Times New Roman"/>
          <w:sz w:val="24"/>
          <w:szCs w:val="24"/>
        </w:rPr>
        <w:t xml:space="preserve"> </w:t>
      </w:r>
    </w:p>
    <w:p w14:paraId="7EA7FA65" w14:textId="0D3DEF47" w:rsidR="00F173BA" w:rsidRPr="00813069" w:rsidRDefault="00F173BA" w:rsidP="002570B0">
      <w:pPr>
        <w:rPr>
          <w:rFonts w:ascii="Times New Roman" w:hAnsi="Times New Roman" w:cs="Times New Roman"/>
          <w:sz w:val="24"/>
          <w:szCs w:val="24"/>
        </w:rPr>
      </w:pPr>
    </w:p>
    <w:p w14:paraId="1C113091" w14:textId="5A80DFE0" w:rsidR="00F173BA" w:rsidRPr="00813069" w:rsidRDefault="00F173BA" w:rsidP="002570B0">
      <w:pPr>
        <w:rPr>
          <w:rFonts w:ascii="Times New Roman" w:hAnsi="Times New Roman" w:cs="Times New Roman"/>
          <w:sz w:val="24"/>
          <w:szCs w:val="24"/>
        </w:rPr>
      </w:pPr>
    </w:p>
    <w:p w14:paraId="1D196CDE" w14:textId="737247FA" w:rsidR="00F173BA" w:rsidRPr="00813069" w:rsidRDefault="00F173BA" w:rsidP="002570B0">
      <w:pPr>
        <w:rPr>
          <w:rFonts w:ascii="Times New Roman" w:hAnsi="Times New Roman" w:cs="Times New Roman"/>
          <w:sz w:val="24"/>
          <w:szCs w:val="24"/>
        </w:rPr>
      </w:pPr>
    </w:p>
    <w:p w14:paraId="02403F08" w14:textId="75BEB719" w:rsidR="00F173BA" w:rsidRPr="00813069" w:rsidRDefault="00F173BA" w:rsidP="002570B0">
      <w:pPr>
        <w:rPr>
          <w:rFonts w:ascii="Times New Roman" w:hAnsi="Times New Roman" w:cs="Times New Roman"/>
          <w:sz w:val="24"/>
          <w:szCs w:val="24"/>
        </w:rPr>
      </w:pPr>
    </w:p>
    <w:p w14:paraId="308325D5" w14:textId="324F2E94" w:rsidR="00F173BA" w:rsidRPr="00813069" w:rsidRDefault="00F173BA" w:rsidP="002570B0">
      <w:pPr>
        <w:rPr>
          <w:rFonts w:ascii="Times New Roman" w:hAnsi="Times New Roman" w:cs="Times New Roman"/>
          <w:sz w:val="24"/>
          <w:szCs w:val="24"/>
        </w:rPr>
      </w:pPr>
    </w:p>
    <w:p w14:paraId="22BAA135" w14:textId="6CC745FE" w:rsidR="00F173BA" w:rsidRPr="00813069" w:rsidRDefault="00F173BA" w:rsidP="002570B0">
      <w:pPr>
        <w:rPr>
          <w:rFonts w:ascii="Times New Roman" w:hAnsi="Times New Roman" w:cs="Times New Roman"/>
          <w:sz w:val="24"/>
          <w:szCs w:val="24"/>
        </w:rPr>
      </w:pPr>
    </w:p>
    <w:p w14:paraId="33D51603" w14:textId="10BA4AEF" w:rsidR="00F173BA" w:rsidRPr="00813069" w:rsidRDefault="00F173BA" w:rsidP="002570B0">
      <w:pPr>
        <w:rPr>
          <w:rFonts w:ascii="Times New Roman" w:hAnsi="Times New Roman" w:cs="Times New Roman"/>
          <w:sz w:val="24"/>
          <w:szCs w:val="24"/>
        </w:rPr>
      </w:pPr>
    </w:p>
    <w:p w14:paraId="55D95E22" w14:textId="0EFD17BF" w:rsidR="00F173BA" w:rsidRPr="00813069" w:rsidRDefault="00F173BA" w:rsidP="002570B0">
      <w:pPr>
        <w:rPr>
          <w:rFonts w:ascii="Times New Roman" w:hAnsi="Times New Roman" w:cs="Times New Roman"/>
          <w:sz w:val="24"/>
          <w:szCs w:val="24"/>
        </w:rPr>
      </w:pPr>
    </w:p>
    <w:p w14:paraId="1E84A240" w14:textId="61513D00" w:rsidR="00F173BA" w:rsidRPr="00813069" w:rsidRDefault="00F173BA" w:rsidP="002570B0">
      <w:pPr>
        <w:rPr>
          <w:rFonts w:ascii="Times New Roman" w:hAnsi="Times New Roman" w:cs="Times New Roman"/>
          <w:sz w:val="24"/>
          <w:szCs w:val="24"/>
        </w:rPr>
      </w:pPr>
    </w:p>
    <w:p w14:paraId="049E1B58" w14:textId="408BB97D" w:rsidR="00F173BA" w:rsidRPr="00813069" w:rsidRDefault="00F173BA" w:rsidP="002570B0">
      <w:pPr>
        <w:rPr>
          <w:rFonts w:ascii="Times New Roman" w:hAnsi="Times New Roman" w:cs="Times New Roman"/>
          <w:sz w:val="24"/>
          <w:szCs w:val="24"/>
        </w:rPr>
      </w:pPr>
    </w:p>
    <w:p w14:paraId="3F19C72F" w14:textId="49CAEBA5" w:rsidR="00F173BA" w:rsidRPr="00813069" w:rsidRDefault="00F173BA" w:rsidP="00F173BA">
      <w:pPr>
        <w:tabs>
          <w:tab w:val="left" w:pos="6948"/>
        </w:tabs>
        <w:rPr>
          <w:rFonts w:ascii="Times New Roman" w:hAnsi="Times New Roman" w:cs="Times New Roman"/>
          <w:sz w:val="24"/>
          <w:szCs w:val="24"/>
        </w:rPr>
      </w:pPr>
      <w:r w:rsidRPr="00813069">
        <w:rPr>
          <w:rFonts w:ascii="Times New Roman" w:hAnsi="Times New Roman" w:cs="Times New Roman"/>
          <w:sz w:val="24"/>
          <w:szCs w:val="24"/>
        </w:rPr>
        <w:tab/>
      </w:r>
    </w:p>
    <w:sectPr w:rsidR="00F173BA" w:rsidRPr="00813069"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8BF67A" w14:textId="77777777" w:rsidR="001A5FDD" w:rsidRDefault="001A5FDD" w:rsidP="00702393">
      <w:pPr>
        <w:spacing w:after="0" w:line="240" w:lineRule="auto"/>
      </w:pPr>
      <w:r>
        <w:separator/>
      </w:r>
    </w:p>
  </w:endnote>
  <w:endnote w:type="continuationSeparator" w:id="0">
    <w:p w14:paraId="367A9BDF" w14:textId="77777777" w:rsidR="001A5FDD" w:rsidRDefault="001A5FDD"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3111FD" w14:textId="77777777" w:rsidR="001A5FDD" w:rsidRDefault="001A5FDD" w:rsidP="00702393">
      <w:pPr>
        <w:spacing w:after="0" w:line="240" w:lineRule="auto"/>
      </w:pPr>
      <w:r>
        <w:separator/>
      </w:r>
    </w:p>
  </w:footnote>
  <w:footnote w:type="continuationSeparator" w:id="0">
    <w:p w14:paraId="0803E072" w14:textId="77777777" w:rsidR="001A5FDD" w:rsidRDefault="001A5FDD"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47BF92BE" w:rsidR="00702393" w:rsidRPr="00017580" w:rsidRDefault="00940023" w:rsidP="005A3B78">
    <w:pPr>
      <w:pStyle w:val="a4"/>
      <w:tabs>
        <w:tab w:val="clear" w:pos="9355"/>
        <w:tab w:val="right" w:pos="9781"/>
      </w:tabs>
      <w:jc w:val="both"/>
    </w:pPr>
    <w:r>
      <w:rPr>
        <w:noProof/>
        <w:lang w:eastAsia="ru-RU"/>
      </w:rPr>
      <w:drawing>
        <wp:anchor distT="0" distB="0" distL="114300" distR="114300" simplePos="0" relativeHeight="251658240" behindDoc="1" locked="0" layoutInCell="1" allowOverlap="1" wp14:anchorId="0720D792" wp14:editId="0066BECF">
          <wp:simplePos x="0" y="0"/>
          <wp:positionH relativeFrom="margin">
            <wp:posOffset>1361440</wp:posOffset>
          </wp:positionH>
          <wp:positionV relativeFrom="paragraph">
            <wp:posOffset>3223268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083357">
      <w:rPr>
        <w:noProof/>
        <w:lang w:eastAsia="ru-RU"/>
      </w:rPr>
      <w:drawing>
        <wp:anchor distT="0" distB="0" distL="114300" distR="114300" simplePos="0" relativeHeight="251656192" behindDoc="1" locked="0" layoutInCell="1" allowOverlap="1" wp14:anchorId="4CD40BCC" wp14:editId="6690AB11">
          <wp:simplePos x="0" y="0"/>
          <wp:positionH relativeFrom="margin">
            <wp:posOffset>4886325</wp:posOffset>
          </wp:positionH>
          <wp:positionV relativeFrom="paragraph">
            <wp:posOffset>743874</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017580">
      <w:rPr>
        <w:noProof/>
        <w:lang w:eastAsia="ru-RU"/>
      </w:rPr>
      <w:drawing>
        <wp:inline distT="0" distB="0" distL="0" distR="0" wp14:anchorId="1ED2111A" wp14:editId="1AF78A52">
          <wp:extent cx="2254250" cy="490293"/>
          <wp:effectExtent l="0" t="0" r="0" b="508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29490" cy="506657"/>
                  </a:xfrm>
                  <a:prstGeom prst="rect">
                    <a:avLst/>
                  </a:prstGeom>
                  <a:noFill/>
                  <a:ln>
                    <a:noFill/>
                  </a:ln>
                </pic:spPr>
              </pic:pic>
            </a:graphicData>
          </a:graphic>
        </wp:inline>
      </w:drawing>
    </w:r>
    <w:r w:rsidR="00017580">
      <w:t xml:space="preserve">              </w:t>
    </w:r>
    <w:r w:rsidR="00D02DFB">
      <w:t xml:space="preserve">       </w:t>
    </w:r>
    <w:r w:rsidR="005A3B78">
      <w:t xml:space="preserve">                  </w:t>
    </w:r>
    <w:r w:rsidR="00D02DFB">
      <w:t xml:space="preserve">                        </w:t>
    </w:r>
    <w:r w:rsidR="00083357">
      <w:rPr>
        <w:noProof/>
        <w:lang w:eastAsia="ru-RU"/>
      </w:rPr>
      <w:drawing>
        <wp:inline distT="0" distB="0" distL="0" distR="0" wp14:anchorId="38BCEF49" wp14:editId="4334A5C0">
          <wp:extent cx="1916010" cy="551775"/>
          <wp:effectExtent l="0" t="0" r="0" b="127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256020" cy="649692"/>
                  </a:xfrm>
                  <a:prstGeom prst="rect">
                    <a:avLst/>
                  </a:prstGeom>
                </pic:spPr>
              </pic:pic>
            </a:graphicData>
          </a:graphic>
        </wp:inline>
      </w:drawing>
    </w:r>
    <w:r w:rsidR="00D02DFB">
      <w:t xml:space="preserve">     </w:t>
    </w:r>
    <w:r w:rsidR="00193E1B">
      <w:rPr>
        <w:lang w:val="en-US"/>
      </w:rPr>
      <w:t xml:space="preserve">     </w:t>
    </w:r>
    <w:r w:rsidR="006B0A4D">
      <w:rPr>
        <w:lang w:val="en-US"/>
      </w:rPr>
      <w:t xml:space="preserve">              </w:t>
    </w:r>
    <w:r w:rsidR="00D02DFB">
      <w:t xml:space="preserve"> </w:t>
    </w:r>
    <w:r w:rsidR="00017580">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B659E"/>
    <w:rsid w:val="00017580"/>
    <w:rsid w:val="00083357"/>
    <w:rsid w:val="00102D7B"/>
    <w:rsid w:val="00152128"/>
    <w:rsid w:val="001539CF"/>
    <w:rsid w:val="00193E1B"/>
    <w:rsid w:val="001A5FDD"/>
    <w:rsid w:val="001C5801"/>
    <w:rsid w:val="001E7ED8"/>
    <w:rsid w:val="0020135A"/>
    <w:rsid w:val="002570B0"/>
    <w:rsid w:val="002A1A72"/>
    <w:rsid w:val="002B659E"/>
    <w:rsid w:val="002E0A89"/>
    <w:rsid w:val="00315990"/>
    <w:rsid w:val="00327D34"/>
    <w:rsid w:val="00327E86"/>
    <w:rsid w:val="00396063"/>
    <w:rsid w:val="003C77EA"/>
    <w:rsid w:val="003E3623"/>
    <w:rsid w:val="0041564C"/>
    <w:rsid w:val="00442855"/>
    <w:rsid w:val="00461793"/>
    <w:rsid w:val="005828CF"/>
    <w:rsid w:val="005A3B78"/>
    <w:rsid w:val="006B0A4D"/>
    <w:rsid w:val="006E2D0A"/>
    <w:rsid w:val="00700F05"/>
    <w:rsid w:val="00702393"/>
    <w:rsid w:val="00722D19"/>
    <w:rsid w:val="00813069"/>
    <w:rsid w:val="008A7236"/>
    <w:rsid w:val="008E7DF6"/>
    <w:rsid w:val="0091354D"/>
    <w:rsid w:val="00940023"/>
    <w:rsid w:val="0094655E"/>
    <w:rsid w:val="009E6904"/>
    <w:rsid w:val="00A23573"/>
    <w:rsid w:val="00A45B15"/>
    <w:rsid w:val="00A81D5F"/>
    <w:rsid w:val="00B31BDB"/>
    <w:rsid w:val="00BD7730"/>
    <w:rsid w:val="00C16D9C"/>
    <w:rsid w:val="00CB275A"/>
    <w:rsid w:val="00CF5BD5"/>
    <w:rsid w:val="00D02DFB"/>
    <w:rsid w:val="00DB660C"/>
    <w:rsid w:val="00EE78AD"/>
    <w:rsid w:val="00F173BA"/>
    <w:rsid w:val="00F96E54"/>
    <w:rsid w:val="00FE608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docId w15:val="{1A075201-8F3B-43F2-9EE2-2AE2FCFDF2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paragraph" w:styleId="a8">
    <w:name w:val="Balloon Text"/>
    <w:basedOn w:val="a"/>
    <w:link w:val="a9"/>
    <w:uiPriority w:val="99"/>
    <w:semiHidden/>
    <w:unhideWhenUsed/>
    <w:rsid w:val="00A81D5F"/>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A81D5F"/>
    <w:rPr>
      <w:rFonts w:ascii="Tahoma" w:hAnsi="Tahoma" w:cs="Tahoma"/>
      <w:sz w:val="16"/>
      <w:szCs w:val="16"/>
    </w:rPr>
  </w:style>
  <w:style w:type="character" w:styleId="aa">
    <w:name w:val="Hyperlink"/>
    <w:basedOn w:val="a0"/>
    <w:uiPriority w:val="99"/>
    <w:unhideWhenUsed/>
    <w:rsid w:val="00700F05"/>
    <w:rPr>
      <w:color w:val="0563C1" w:themeColor="hyperlink"/>
      <w:u w:val="single"/>
    </w:rPr>
  </w:style>
  <w:style w:type="character" w:styleId="ab">
    <w:name w:val="Unresolved Mention"/>
    <w:basedOn w:val="a0"/>
    <w:uiPriority w:val="99"/>
    <w:semiHidden/>
    <w:unhideWhenUsed/>
    <w:rsid w:val="00700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ok.ru/profile/576689877171"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3</Pages>
  <Words>897</Words>
  <Characters>5113</Characters>
  <Application>Microsoft Office Word</Application>
  <DocSecurity>0</DocSecurity>
  <Lines>42</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37</cp:revision>
  <cp:lastPrinted>2021-08-17T09:04:00Z</cp:lastPrinted>
  <dcterms:created xsi:type="dcterms:W3CDTF">2021-08-13T09:00:00Z</dcterms:created>
  <dcterms:modified xsi:type="dcterms:W3CDTF">2021-12-04T12:24:00Z</dcterms:modified>
</cp:coreProperties>
</file>