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F593A27" w:rsidR="00A81D5F" w:rsidRPr="00002471" w:rsidRDefault="005F5069" w:rsidP="00002471">
      <w:pPr>
        <w:jc w:val="center"/>
        <w:rPr>
          <w:rFonts w:ascii="Times New Roman" w:hAnsi="Times New Roman" w:cs="Times New Roman"/>
          <w:b/>
          <w:bCs/>
          <w:sz w:val="24"/>
          <w:szCs w:val="24"/>
        </w:rPr>
      </w:pPr>
      <w:r w:rsidRPr="00002471">
        <w:rPr>
          <w:rFonts w:ascii="Times New Roman" w:hAnsi="Times New Roman" w:cs="Times New Roman"/>
          <w:b/>
          <w:bCs/>
          <w:sz w:val="24"/>
          <w:szCs w:val="24"/>
        </w:rPr>
        <w:t>Вручение предписания об устранении нарушений и сроки составления административных материалов</w:t>
      </w:r>
    </w:p>
    <w:p w14:paraId="7EA7FA65" w14:textId="0D3DEF47" w:rsidR="00F173BA" w:rsidRPr="00002471" w:rsidRDefault="00F173BA" w:rsidP="00002471">
      <w:pPr>
        <w:jc w:val="both"/>
        <w:rPr>
          <w:rFonts w:ascii="Times New Roman" w:hAnsi="Times New Roman" w:cs="Times New Roman"/>
          <w:sz w:val="24"/>
          <w:szCs w:val="24"/>
        </w:rPr>
      </w:pPr>
    </w:p>
    <w:p w14:paraId="190A9F13" w14:textId="77777777" w:rsidR="00002471"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Согласно пункту 1 статьи 23-3 Закона, в случаях выявления по итогам проверки нарушений в течение десяти рабочих дней вручается предписание об устранении нарушений собственнику, владельцу, руководителю или иному должностному лицу объекта УТО независимо от формы собственности. При этом выявленные нарушения должны быть устранены в течение тридцати календарных дней со дня вручения (получения) предписания (ст.ст.23-1, 23-2, 23-3 Закона). </w:t>
      </w:r>
    </w:p>
    <w:p w14:paraId="6339EBC4" w14:textId="77777777" w:rsidR="00002471"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Однако указанная мера не исключает принятия мер по привлечению собственника, владельца, руководителя или иного должностного лица объекта УТО к административной ответственности за неисполнение обязанностей по обеспечению антитеррористической защищённости вверенного ему объекта. Так, например, 16 мая 2019 года специализированный суд города Семей (судья В.) рассмотрел дело об административном правонарушении по части 1 статьи 149 КоАП в отношении М., являющегося директором торгового дома «Апрель», объекта УТО. Производство по делу в отношении М. было прекращено в связи с отсутствием в его действиях состава административного правонарушения. </w:t>
      </w:r>
    </w:p>
    <w:p w14:paraId="41714606" w14:textId="77777777" w:rsidR="00002471"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Суд первой инстанции мотивировал тем, что при проведении проверки и возбуждении дела об административном правонарушении должностным лицом допущены нарушения Закона Республики Казахстан «О противодействии терроризму». Так, должностным лицом не был предъявлен акт о назначении проверки, не был направлен акт о результатах проверки, предписание об устранении нарушений не вручалось, не направлялось. Постановлением суда апелляционной инстанции было установлено, что состав соответствующего административного правонарушения в действиях М. имеется. </w:t>
      </w:r>
    </w:p>
    <w:p w14:paraId="720B8922" w14:textId="7FDF103F" w:rsidR="00CF0F75"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Вина его в совершении указанного правонарушения подтверждается видеозаписью хода проверки, в которой зафиксировано, что срок хранения информации в ТД «Апрель» составляет менее 30 суток в нарушение пункта 74 требований к телевизионной системе видеонаблюдения. Также в ТД не проводятся профилактические мероприятия по отработке совместных действий с </w:t>
      </w:r>
      <w:hyperlink r:id="rId6" w:history="1">
        <w:r w:rsidRPr="00AF3DAF">
          <w:rPr>
            <w:rStyle w:val="aa"/>
            <w:rFonts w:ascii="Times New Roman" w:hAnsi="Times New Roman" w:cs="Times New Roman"/>
            <w:sz w:val="24"/>
            <w:szCs w:val="24"/>
          </w:rPr>
          <w:t>заинтересованными государственными органами и организациями по</w:t>
        </w:r>
      </w:hyperlink>
      <w:r w:rsidRPr="00002471">
        <w:rPr>
          <w:rFonts w:ascii="Times New Roman" w:hAnsi="Times New Roman" w:cs="Times New Roman"/>
          <w:sz w:val="24"/>
          <w:szCs w:val="24"/>
        </w:rPr>
        <w:t xml:space="preserve"> ликвидации угроз техногенного характера, возникших в результате совершенного акта терроризма. Никаких документов представителями ТД в опровержение указанного довода представлено не было. Вместе с тем суд апелляционной инстанции, установив нарушения в постановлении суда первой инстанции, пришел к выводу о том, что производство по делу подлежало прекращению в суде первой инстанции в связи с истечением срока давности привлечения М. к административной ответственности. </w:t>
      </w:r>
    </w:p>
    <w:p w14:paraId="646A59EC" w14:textId="77777777" w:rsidR="00CF0F75"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Так, судом апелляционной инстанции было установлено, что правонарушение М. совершено 14 марта 2019 года, дело об административном правонарушении направлено в суд 18 апреля 2019 года, постановление судом первой инстанции по делу вынесено 16 мая 2019 года, то есть на момент принятия судом решения по делу истек двухмесячный срок давности привлечения лица к административной ответственности, установленный статьей 62 КоАП. Однако в данном случае дело в суде находилось около месяца, и суд мог рассмотреть дело, не допуская истечения срока привлечения к административной ответственности. </w:t>
      </w:r>
    </w:p>
    <w:p w14:paraId="69BD2A44" w14:textId="77777777" w:rsidR="00CF0F75"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Судам также необходимо обратить внимание к тому, что само по себе некоторые отдельные нарушения процедуры проведения проверки (например, непредъявление акта по результатам проверки, </w:t>
      </w:r>
      <w:proofErr w:type="spellStart"/>
      <w:r w:rsidRPr="00002471">
        <w:rPr>
          <w:rFonts w:ascii="Times New Roman" w:hAnsi="Times New Roman" w:cs="Times New Roman"/>
          <w:sz w:val="24"/>
          <w:szCs w:val="24"/>
        </w:rPr>
        <w:t>невынесение</w:t>
      </w:r>
      <w:proofErr w:type="spellEnd"/>
      <w:r w:rsidRPr="00002471">
        <w:rPr>
          <w:rFonts w:ascii="Times New Roman" w:hAnsi="Times New Roman" w:cs="Times New Roman"/>
          <w:sz w:val="24"/>
          <w:szCs w:val="24"/>
        </w:rPr>
        <w:t xml:space="preserve"> предписания об устранении нарушений и т.д.) не могут </w:t>
      </w:r>
      <w:r w:rsidRPr="00002471">
        <w:rPr>
          <w:rFonts w:ascii="Times New Roman" w:hAnsi="Times New Roman" w:cs="Times New Roman"/>
          <w:sz w:val="24"/>
          <w:szCs w:val="24"/>
        </w:rPr>
        <w:lastRenderedPageBreak/>
        <w:t xml:space="preserve">являться основанием для прекращения дела за отсутствием в действиях состава административного правонарушения. Согласно статье 156 Предпринимательского кодекса Республики Казахстан недействительность проверки и профилактического контроля и надзора с посещением субъекта (объекта) контроля и надзора определяется при наличии грубых нарушений требований кодекса. В части 2 кодекса перечислены 10 грубых нарушений, при наличии которых проверка признается недействительной и которые могут являться основанием для прекращения дела об административном правонарушении. </w:t>
      </w:r>
    </w:p>
    <w:p w14:paraId="22A52D72" w14:textId="2C3F0081" w:rsidR="00AF3DAF"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При рассмотрении административного дела суд должен исследовать и дать оценку всем доказательствам по совершенному административному правонарушению, затем определить, доказана вина или нет, имеется ли состав правонарушения. Анализ показал, что уполномоченные органы не </w:t>
      </w:r>
      <w:hyperlink r:id="rId7" w:history="1">
        <w:r w:rsidRPr="00AF3DAF">
          <w:rPr>
            <w:rStyle w:val="aa"/>
            <w:rFonts w:ascii="Times New Roman" w:hAnsi="Times New Roman" w:cs="Times New Roman"/>
            <w:sz w:val="24"/>
            <w:szCs w:val="24"/>
          </w:rPr>
          <w:t>всегда составляют своевременно протоколы об административном</w:t>
        </w:r>
      </w:hyperlink>
      <w:r w:rsidRPr="00002471">
        <w:rPr>
          <w:rFonts w:ascii="Times New Roman" w:hAnsi="Times New Roman" w:cs="Times New Roman"/>
          <w:sz w:val="24"/>
          <w:szCs w:val="24"/>
        </w:rPr>
        <w:t xml:space="preserve"> правонарушении, что приводит к пропуску срока для привлечения к ответственности виновных лиц. </w:t>
      </w:r>
    </w:p>
    <w:p w14:paraId="63FF8596" w14:textId="1AAE0FE9" w:rsidR="00CF0F75"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 xml:space="preserve">Сроки составления протокола об административном правонарушении регламентированы статьей 806 КоАП, согласно которой протокол об административном правонарушении составляется незамедлительно после обнаружения факта совершения административного правонарушения либо после завершения соответствующей проверки. Например, постановлением СМАС г. Астана от 21 февраля 2018 года дело в отношении руководителя «Ясли-сад № 54 «Н» И. по части 1 статьи 149 КоАП прекращено, так как лицо не подлежит привлечению к административной ответственности по истечении двух месяцев со дня совершения административного правонарушения. </w:t>
      </w:r>
    </w:p>
    <w:p w14:paraId="1C113091" w14:textId="190B5D1B" w:rsidR="00F173BA" w:rsidRPr="00002471" w:rsidRDefault="00727E1E" w:rsidP="00002471">
      <w:pPr>
        <w:ind w:firstLine="720"/>
        <w:jc w:val="both"/>
        <w:rPr>
          <w:rFonts w:ascii="Times New Roman" w:hAnsi="Times New Roman" w:cs="Times New Roman"/>
          <w:sz w:val="24"/>
          <w:szCs w:val="24"/>
        </w:rPr>
      </w:pPr>
      <w:r w:rsidRPr="00002471">
        <w:rPr>
          <w:rFonts w:ascii="Times New Roman" w:hAnsi="Times New Roman" w:cs="Times New Roman"/>
          <w:sz w:val="24"/>
          <w:szCs w:val="24"/>
        </w:rPr>
        <w:t>При этом в силу требований части 5 вышеуказанной статьи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Срок привлечения И. к административной ответственности по части 1 статьи 149 КоАП исчисляется с момента обнаружения правонарушения, то есть с 23 ноября 2017 года по 23 января 2018 года. В производство суда данное дело фактически было направлено через Судебный кабинет 13 февраля 2018 года, то есть по истечении срока привлечения И. к административной ответственности. Поэтому производство по делу в отношении И. прекращено, она освобождена от административной ответственности в связи с истечением срока давности.</w:t>
      </w:r>
    </w:p>
    <w:p w14:paraId="1D196CDE" w14:textId="737247FA" w:rsidR="00F173BA" w:rsidRPr="00002471" w:rsidRDefault="00F173BA" w:rsidP="00002471">
      <w:pPr>
        <w:jc w:val="both"/>
        <w:rPr>
          <w:rFonts w:ascii="Times New Roman" w:hAnsi="Times New Roman" w:cs="Times New Roman"/>
          <w:sz w:val="24"/>
          <w:szCs w:val="24"/>
        </w:rPr>
      </w:pPr>
    </w:p>
    <w:p w14:paraId="02403F08" w14:textId="75BEB719" w:rsidR="00F173BA" w:rsidRPr="00002471" w:rsidRDefault="00F173BA" w:rsidP="00002471">
      <w:pPr>
        <w:jc w:val="both"/>
        <w:rPr>
          <w:rFonts w:ascii="Times New Roman" w:hAnsi="Times New Roman" w:cs="Times New Roman"/>
          <w:sz w:val="24"/>
          <w:szCs w:val="24"/>
        </w:rPr>
      </w:pPr>
    </w:p>
    <w:p w14:paraId="308325D5" w14:textId="324F2E94" w:rsidR="00F173BA" w:rsidRPr="00002471" w:rsidRDefault="00F173BA" w:rsidP="00002471">
      <w:pPr>
        <w:jc w:val="both"/>
        <w:rPr>
          <w:rFonts w:ascii="Times New Roman" w:hAnsi="Times New Roman" w:cs="Times New Roman"/>
          <w:sz w:val="24"/>
          <w:szCs w:val="24"/>
        </w:rPr>
      </w:pPr>
    </w:p>
    <w:p w14:paraId="22BAA135" w14:textId="6CC745FE" w:rsidR="00F173BA" w:rsidRPr="00002471" w:rsidRDefault="00F173BA" w:rsidP="00002471">
      <w:pPr>
        <w:jc w:val="both"/>
        <w:rPr>
          <w:rFonts w:ascii="Times New Roman" w:hAnsi="Times New Roman" w:cs="Times New Roman"/>
          <w:sz w:val="24"/>
          <w:szCs w:val="24"/>
        </w:rPr>
      </w:pPr>
    </w:p>
    <w:p w14:paraId="33D51603" w14:textId="10BA4AEF" w:rsidR="00F173BA" w:rsidRPr="00002471" w:rsidRDefault="00F173BA" w:rsidP="00002471">
      <w:pPr>
        <w:jc w:val="both"/>
        <w:rPr>
          <w:rFonts w:ascii="Times New Roman" w:hAnsi="Times New Roman" w:cs="Times New Roman"/>
          <w:sz w:val="24"/>
          <w:szCs w:val="24"/>
        </w:rPr>
      </w:pPr>
    </w:p>
    <w:p w14:paraId="55D95E22" w14:textId="0EFD17BF" w:rsidR="00F173BA" w:rsidRPr="00002471" w:rsidRDefault="00F173BA" w:rsidP="00002471">
      <w:pPr>
        <w:jc w:val="both"/>
        <w:rPr>
          <w:rFonts w:ascii="Times New Roman" w:hAnsi="Times New Roman" w:cs="Times New Roman"/>
          <w:sz w:val="24"/>
          <w:szCs w:val="24"/>
        </w:rPr>
      </w:pPr>
    </w:p>
    <w:p w14:paraId="1E84A240" w14:textId="61513D00" w:rsidR="00F173BA" w:rsidRPr="00002471" w:rsidRDefault="00F173BA" w:rsidP="00002471">
      <w:pPr>
        <w:jc w:val="both"/>
        <w:rPr>
          <w:rFonts w:ascii="Times New Roman" w:hAnsi="Times New Roman" w:cs="Times New Roman"/>
          <w:sz w:val="24"/>
          <w:szCs w:val="24"/>
        </w:rPr>
      </w:pPr>
    </w:p>
    <w:p w14:paraId="049E1B58" w14:textId="408BB97D" w:rsidR="00F173BA" w:rsidRPr="00002471" w:rsidRDefault="00F173BA" w:rsidP="00002471">
      <w:pPr>
        <w:jc w:val="both"/>
        <w:rPr>
          <w:rFonts w:ascii="Times New Roman" w:hAnsi="Times New Roman" w:cs="Times New Roman"/>
          <w:sz w:val="24"/>
          <w:szCs w:val="24"/>
        </w:rPr>
      </w:pPr>
    </w:p>
    <w:p w14:paraId="3F19C72F" w14:textId="49CAEBA5" w:rsidR="00F173BA" w:rsidRPr="00002471" w:rsidRDefault="00F173BA" w:rsidP="00002471">
      <w:pPr>
        <w:tabs>
          <w:tab w:val="left" w:pos="6948"/>
        </w:tabs>
        <w:jc w:val="both"/>
        <w:rPr>
          <w:rFonts w:ascii="Times New Roman" w:hAnsi="Times New Roman" w:cs="Times New Roman"/>
          <w:sz w:val="24"/>
          <w:szCs w:val="24"/>
        </w:rPr>
      </w:pPr>
      <w:r w:rsidRPr="00002471">
        <w:rPr>
          <w:rFonts w:ascii="Times New Roman" w:hAnsi="Times New Roman" w:cs="Times New Roman"/>
          <w:sz w:val="24"/>
          <w:szCs w:val="24"/>
        </w:rPr>
        <w:tab/>
      </w:r>
    </w:p>
    <w:sectPr w:rsidR="00F173BA" w:rsidRPr="0000247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02471"/>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5F5069"/>
    <w:rsid w:val="006B0A4D"/>
    <w:rsid w:val="006E2D0A"/>
    <w:rsid w:val="00702393"/>
    <w:rsid w:val="00722D19"/>
    <w:rsid w:val="00727E1E"/>
    <w:rsid w:val="008A7236"/>
    <w:rsid w:val="008E7DF6"/>
    <w:rsid w:val="0091354D"/>
    <w:rsid w:val="00940023"/>
    <w:rsid w:val="0094655E"/>
    <w:rsid w:val="009E6904"/>
    <w:rsid w:val="00A23573"/>
    <w:rsid w:val="00A45B15"/>
    <w:rsid w:val="00A81D5F"/>
    <w:rsid w:val="00AF3DAF"/>
    <w:rsid w:val="00B31BDB"/>
    <w:rsid w:val="00BD7730"/>
    <w:rsid w:val="00C16D9C"/>
    <w:rsid w:val="00CB275A"/>
    <w:rsid w:val="00CF0F75"/>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F3DAF"/>
    <w:rPr>
      <w:color w:val="0563C1" w:themeColor="hyperlink"/>
      <w:u w:val="single"/>
    </w:rPr>
  </w:style>
  <w:style w:type="character" w:styleId="ab">
    <w:name w:val="Unresolved Mention"/>
    <w:basedOn w:val="a0"/>
    <w:uiPriority w:val="99"/>
    <w:semiHidden/>
    <w:unhideWhenUsed/>
    <w:rsid w:val="00AF3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2021-10-18T11:20:00Z</dcterms:modified>
</cp:coreProperties>
</file>