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D055" w14:textId="77777777" w:rsidR="0035588F" w:rsidRDefault="004A20AE">
      <w:pPr>
        <w:pStyle w:val="Normal0"/>
        <w:spacing w:before="240" w:after="0"/>
        <w:jc w:val="both"/>
      </w:pPr>
      <w:r w:rsidRPr="00A80CC2">
        <w:rPr>
          <w:rFonts w:hint="cs"/>
          <w:color w:val="00000A"/>
          <w:szCs w:val="24"/>
        </w:rPr>
        <w:t xml:space="preserve"> </w:t>
      </w:r>
    </w:p>
    <w:p w14:paraId="75DA2152" w14:textId="746633F3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Дело № 2-2285/</w:t>
      </w:r>
      <w:r w:rsidR="0095527F">
        <w:rPr>
          <w:rFonts w:ascii="Times New Roman" w:eastAsia="Times New Roman" w:hAnsi="Times New Roman" w:cs="Times New Roman"/>
          <w:sz w:val="28"/>
          <w:lang w:val="ru-RU"/>
        </w:rPr>
        <w:t>….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                                        </w:t>
      </w:r>
    </w:p>
    <w:p w14:paraId="4C3D3BD4" w14:textId="77777777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 xml:space="preserve"> </w:t>
      </w:r>
    </w:p>
    <w:p w14:paraId="642D035D" w14:textId="77777777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 xml:space="preserve">            </w:t>
      </w: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ОПРЕДЕЛЕНИЕ  </w:t>
      </w:r>
    </w:p>
    <w:p w14:paraId="2DE6EE56" w14:textId="77777777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                                       об отмене заочного решения  </w:t>
      </w:r>
    </w:p>
    <w:p w14:paraId="0F523422" w14:textId="77777777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5FA6BC7D" w14:textId="77777777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            26 апреля 2016 года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     г.Талдыкорган</w:t>
      </w:r>
    </w:p>
    <w:p w14:paraId="1A99F3D6" w14:textId="77777777" w:rsidR="0035588F" w:rsidRPr="00A80CC2" w:rsidRDefault="004A20AE">
      <w:pPr>
        <w:spacing w:after="0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1F2C05DA" w14:textId="60F3F841" w:rsidR="0035588F" w:rsidRPr="00A80CC2" w:rsidRDefault="004A20AE">
      <w:pPr>
        <w:spacing w:after="0"/>
        <w:ind w:firstLine="90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Специализированный межрайонный экономический суд Алматинской области в составе председательствующего судьи Касымбаевой Г.С., при секретаре Канатбек М., с участием представителя истца- </w:t>
      </w:r>
      <w:r w:rsidR="0095527F">
        <w:rPr>
          <w:rFonts w:ascii="Times New Roman" w:eastAsia="Times New Roman" w:hAnsi="Times New Roman" w:cs="Times New Roman"/>
          <w:sz w:val="28"/>
          <w:lang w:val="ru-RU"/>
        </w:rPr>
        <w:t>……….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., действующей на основании доверенности от 22.04.2016 года,  представителя ответчика </w:t>
      </w:r>
      <w:r w:rsidR="0095527F">
        <w:rPr>
          <w:rFonts w:ascii="Times New Roman" w:eastAsia="Times New Roman" w:hAnsi="Times New Roman" w:cs="Times New Roman"/>
          <w:sz w:val="28"/>
          <w:lang w:val="ru-RU"/>
        </w:rPr>
        <w:t>……..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С.М., действующего на основании приказа №20 от 29.07.2014 года,</w:t>
      </w:r>
    </w:p>
    <w:p w14:paraId="76E93D01" w14:textId="1C777195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  рассмотрев в открытом судебном заседании в помещении суда заявление представителя ответчика об отмене заочного решения суда от 20.08.2015 года, по гражданскому делу, по иску ИП </w:t>
      </w:r>
      <w:r w:rsidR="0095527F">
        <w:rPr>
          <w:rFonts w:ascii="Times New Roman" w:eastAsia="Times New Roman" w:hAnsi="Times New Roman" w:cs="Times New Roman"/>
          <w:sz w:val="28"/>
          <w:lang w:val="ru-RU"/>
        </w:rPr>
        <w:t>……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Е.Н. к ответчику ТОО «МД </w:t>
      </w:r>
      <w:r w:rsidR="0095527F">
        <w:rPr>
          <w:rFonts w:ascii="Times New Roman" w:eastAsia="Times New Roman" w:hAnsi="Times New Roman" w:cs="Times New Roman"/>
          <w:sz w:val="28"/>
          <w:lang w:val="ru-RU"/>
        </w:rPr>
        <w:t>……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» о взыскании суммы задолженности и неустойки,</w:t>
      </w:r>
    </w:p>
    <w:p w14:paraId="6CD65422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 xml:space="preserve"> </w:t>
      </w:r>
    </w:p>
    <w:p w14:paraId="75669775" w14:textId="77777777" w:rsidR="0035588F" w:rsidRPr="00A80CC2" w:rsidRDefault="004A20AE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    УСТАНОВИЛ:</w:t>
      </w:r>
    </w:p>
    <w:p w14:paraId="7BCD4E20" w14:textId="77777777" w:rsidR="0035588F" w:rsidRPr="00A80CC2" w:rsidRDefault="004A20AE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0E3B0DC0" w14:textId="77777777" w:rsidR="0035588F" w:rsidRPr="00A80CC2" w:rsidRDefault="004A20AE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Заочным решением Специализированного межрайонного экономического суда Алматинской области от 20.08.2015 года, исковые требования удовлетворены.</w:t>
      </w:r>
    </w:p>
    <w:p w14:paraId="0A8B366D" w14:textId="76C935BF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           С ответчика ТОО «МД </w:t>
      </w:r>
      <w:r w:rsidR="0095527F">
        <w:rPr>
          <w:rFonts w:ascii="Times New Roman" w:eastAsia="Times New Roman" w:hAnsi="Times New Roman" w:cs="Times New Roman"/>
          <w:sz w:val="28"/>
          <w:lang w:val="ru-RU"/>
        </w:rPr>
        <w:t>………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»  в пользу ИП Сыбанкулова Е.Н. взыскана задолженность в  сумме 2 300 000 (два миллиона триста тысяч) тенге неустойку в размере 115 001 (сто пятнадцать тысяч один) тенге и возврат госпошлины в сумме 72 451 (семьдесят две тысячи четыреста пятьдесят один) тенге.</w:t>
      </w:r>
    </w:p>
    <w:p w14:paraId="19B3A581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  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 Ответчиком подано заявление об отмене заочного решения, в котором он указывает, что судебных извещений не получал,  более того 20 августа 2015 года подал заявление об отложении судебного заседания, не имел возможности ознакомиться с предметом искового заявления и защитить интересы.</w:t>
      </w:r>
    </w:p>
    <w:p w14:paraId="1BE0F84B" w14:textId="5DEE758C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В  судебном заседании представитель истца Эркин А.Д., просила суд отклонить заявление об отмене заочного решения ТОО «МД </w:t>
      </w:r>
      <w:r w:rsidR="0095527F">
        <w:rPr>
          <w:rFonts w:ascii="Times New Roman" w:eastAsia="Times New Roman" w:hAnsi="Times New Roman" w:cs="Times New Roman"/>
          <w:sz w:val="28"/>
          <w:lang w:val="ru-RU"/>
        </w:rPr>
        <w:t>……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»,  по основаниям изложенным в отзыве.</w:t>
      </w:r>
    </w:p>
    <w:p w14:paraId="20A21217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>В соответствии со ст.265 ГПК Республики Казахстан, заочное решение подлежит отмене, если суд установит, что неявка ответчика в судебное заседание была вызвана уважительными причинами, о которых он не имел возможности своевременно сообщить суду, и представил доказательства, которые могут повлиять на содержание решения.</w:t>
      </w:r>
    </w:p>
    <w:p w14:paraId="049CC2B8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>Из определении суда усматривается, что слушание дела назначено на 13 августа 2015 года. (л.д.34).</w:t>
      </w:r>
    </w:p>
    <w:p w14:paraId="0CE6AF77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lastRenderedPageBreak/>
        <w:tab/>
        <w:t>Из протокола судебного заседания от 13 августа 2015 года следует, что стороны не явились в судебное заседание, в связи с неявкой сторон слушание дела отложено на 20 августа 2015 года. (л.д.37).</w:t>
      </w:r>
    </w:p>
    <w:p w14:paraId="08E61890" w14:textId="1C8C2E36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20 августа 2015 года от ответчика ТОО «МД </w:t>
      </w:r>
      <w:r w:rsidR="0095527F">
        <w:rPr>
          <w:rFonts w:ascii="Times New Roman" w:eastAsia="Times New Roman" w:hAnsi="Times New Roman" w:cs="Times New Roman"/>
          <w:sz w:val="28"/>
          <w:lang w:val="ru-RU"/>
        </w:rPr>
        <w:t>……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» поступило заявление об отложении судебного заседания, в связи с занятостью в семинаре в г.Алматы.(л.д.40).</w:t>
      </w:r>
    </w:p>
    <w:p w14:paraId="7E4905DB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>Однако в протоколе судебного заседания от 20.08.2015 года указана, что ответчик не явился, заявления ответчика об отложении судебного заседания не оглашено. (л.д. 43-44).</w:t>
      </w:r>
    </w:p>
    <w:p w14:paraId="52728F94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>При таких обстоятельствах, суд считает заявление подлежащим удовлетворению, а заочное решение отмене.</w:t>
      </w:r>
    </w:p>
    <w:p w14:paraId="0FFB05B3" w14:textId="77777777" w:rsidR="0035588F" w:rsidRPr="00A80CC2" w:rsidRDefault="004A20AE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Руководствуясь ст.268-269  ГПК Республики Казахстан, суд</w:t>
      </w:r>
    </w:p>
    <w:p w14:paraId="2C164AD7" w14:textId="77777777" w:rsidR="0035588F" w:rsidRPr="00A80CC2" w:rsidRDefault="004A20AE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 xml:space="preserve"> </w:t>
      </w:r>
    </w:p>
    <w:p w14:paraId="6E41F764" w14:textId="77777777" w:rsidR="0035588F" w:rsidRPr="00A80CC2" w:rsidRDefault="004A20AE">
      <w:pPr>
        <w:spacing w:after="0"/>
        <w:jc w:val="center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 xml:space="preserve"> 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ОПРЕДЕЛИЛ:</w:t>
      </w:r>
    </w:p>
    <w:p w14:paraId="73BC96A2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b/>
          <w:sz w:val="28"/>
          <w:lang w:val="ru-RU"/>
        </w:rPr>
        <w:tab/>
      </w:r>
    </w:p>
    <w:p w14:paraId="24EBC6DB" w14:textId="70BAE9F6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Заочное решение Специализированного межрайонного экономического суда  Алматинской области от 20.08.2015 года, по гражданскому делу, по иску ИП Сыбанкулова Е.Н. к ответчику ТОО «МД </w:t>
      </w:r>
      <w:r w:rsidR="0095527F">
        <w:rPr>
          <w:rFonts w:ascii="Times New Roman" w:eastAsia="Times New Roman" w:hAnsi="Times New Roman" w:cs="Times New Roman"/>
          <w:sz w:val="28"/>
          <w:lang w:val="ru-RU"/>
        </w:rPr>
        <w:t>…..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»  о взыскании суммы задолженности и неустойки- отменить, производство по делу возобновить, слушание дела назначить на 03.05.2016 года к 14.30 часам, вызов сторон повторить.</w:t>
      </w:r>
    </w:p>
    <w:p w14:paraId="043878BC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>Определение обжалованию не подлежит.</w:t>
      </w:r>
    </w:p>
    <w:p w14:paraId="057C681E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</w:t>
      </w:r>
    </w:p>
    <w:p w14:paraId="10B2F3A2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 xml:space="preserve"> </w:t>
      </w:r>
    </w:p>
    <w:p w14:paraId="3C395230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>Судья: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              Касымбаева Г.С.</w:t>
      </w:r>
    </w:p>
    <w:p w14:paraId="7E12C816" w14:textId="77777777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lang w:val="ru-RU"/>
        </w:rPr>
        <w:t xml:space="preserve"> </w:t>
      </w:r>
    </w:p>
    <w:p w14:paraId="3192ED3A" w14:textId="77777777" w:rsidR="0035588F" w:rsidRPr="00A80CC2" w:rsidRDefault="004A20AE">
      <w:pPr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Копия верна</w:t>
      </w:r>
    </w:p>
    <w:p w14:paraId="6CA3A003" w14:textId="77777777" w:rsidR="0035588F" w:rsidRPr="00A80CC2" w:rsidRDefault="004A20AE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>Судья:</w:t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</w:r>
      <w:r w:rsidRPr="00A80CC2">
        <w:rPr>
          <w:rFonts w:ascii="Times New Roman" w:eastAsia="Times New Roman" w:hAnsi="Times New Roman" w:cs="Times New Roman" w:hint="cs"/>
          <w:sz w:val="28"/>
          <w:lang w:val="ru-RU"/>
        </w:rPr>
        <w:tab/>
        <w:t xml:space="preserve">               Касымбаева Г.С.</w:t>
      </w:r>
    </w:p>
    <w:p w14:paraId="5C3E7A0A" w14:textId="77777777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lang w:val="ru-RU"/>
        </w:rPr>
        <w:t xml:space="preserve"> </w:t>
      </w:r>
    </w:p>
    <w:p w14:paraId="63DCC1A6" w14:textId="77777777" w:rsidR="0035588F" w:rsidRPr="00A80CC2" w:rsidRDefault="004A20AE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80CC2">
        <w:rPr>
          <w:rFonts w:ascii="Times New Roman" w:eastAsia="Times New Roman" w:hAnsi="Times New Roman" w:cs="Times New Roman" w:hint="cs"/>
          <w:lang w:val="ru-RU"/>
        </w:rPr>
        <w:t xml:space="preserve"> </w:t>
      </w:r>
    </w:p>
    <w:p w14:paraId="26FDEC5A" w14:textId="77777777" w:rsidR="0035588F" w:rsidRPr="00A80CC2" w:rsidRDefault="0035588F">
      <w:pPr>
        <w:rPr>
          <w:rFonts w:ascii="Times New Roman" w:eastAsia="Times New Roman" w:hAnsi="Times New Roman" w:cs="Times New Roman"/>
          <w:lang w:val="ru-RU"/>
        </w:rPr>
      </w:pPr>
    </w:p>
    <w:sectPr w:rsidR="0035588F" w:rsidRPr="00A80CC2" w:rsidSect="00A80CC2">
      <w:headerReference w:type="default" r:id="rId6"/>
      <w:pgSz w:w="11906" w:h="16838"/>
      <w:pgMar w:top="567" w:right="566" w:bottom="42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52D3" w14:textId="77777777" w:rsidR="009017DC" w:rsidRDefault="009017DC" w:rsidP="0035588F">
      <w:pPr>
        <w:spacing w:after="0" w:line="240" w:lineRule="auto"/>
      </w:pPr>
      <w:r>
        <w:separator/>
      </w:r>
    </w:p>
  </w:endnote>
  <w:endnote w:type="continuationSeparator" w:id="0">
    <w:p w14:paraId="74824D0E" w14:textId="77777777" w:rsidR="009017DC" w:rsidRDefault="009017DC" w:rsidP="0035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dchiangUPC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21F1" w14:textId="77777777" w:rsidR="009017DC" w:rsidRDefault="009017DC" w:rsidP="0035588F">
      <w:pPr>
        <w:spacing w:after="0" w:line="240" w:lineRule="auto"/>
      </w:pPr>
      <w:r>
        <w:separator/>
      </w:r>
    </w:p>
  </w:footnote>
  <w:footnote w:type="continuationSeparator" w:id="0">
    <w:p w14:paraId="7063E2D3" w14:textId="77777777" w:rsidR="009017DC" w:rsidRDefault="009017DC" w:rsidP="0035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AFAD" w14:textId="77777777" w:rsidR="0035588F" w:rsidRDefault="009017DC">
    <w:r>
      <w:pict w14:anchorId="0FB44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120pt;margin-top:350pt;width:400pt;height:39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12AD62EB">
        <v:shape id="_x0000_s3074" type="#_x0000_t75" style="position:absolute;margin-left:5pt;margin-top:50pt;width:25pt;height:600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20B87BC8">
        <v:shape id="_x0000_s3075" type="#_x0000_t75" style="position:absolute;margin-left:570pt;margin-top:250pt;width:25pt;height:400pt;z-index:-251656192;mso-position-horizontal-relative:page;mso-position-vertical-relative:page">
          <v:imagedata r:id="rId2" o:title=""/>
          <w10:wrap anchorx="page" anchory="page"/>
        </v:shape>
      </w:pict>
    </w:r>
    <w:r>
      <w:pict w14:anchorId="60717A27">
        <v:shape id="_x0000_s3076" type="#_x0000_t75" style="position:absolute;margin-left:7pt;margin-top:750pt;width:40pt;height:40pt;z-index:-251655168;mso-position-horizontal-relative:page;mso-position-vertical-relative:page">
          <v:imagedata r:id="rId3" o:title=""/>
          <w10:wrap anchorx="page" anchory="page"/>
        </v:shape>
      </w:pict>
    </w:r>
    <w:r>
      <w:pict w14:anchorId="7C68037B">
        <v:shape id="_x0000_s3077" type="#_x0000_t75" style="position:absolute;margin-left:11pt;margin-top:790pt;width:200pt;height:25pt;z-index:-251654144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characterSpacingControl w:val="doNotCompress"/>
  <w:hdrShapeDefaults>
    <o:shapedefaults v:ext="edit" spidmax="3078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88F"/>
    <w:rsid w:val="0035588F"/>
    <w:rsid w:val="004A20AE"/>
    <w:rsid w:val="009017DC"/>
    <w:rsid w:val="0095527F"/>
    <w:rsid w:val="00A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,"/>
  <w:listSeparator w:val=";"/>
  <w14:docId w14:val="52064749"/>
  <w15:docId w15:val="{588803BD-4198-4A85-B2DF-C2B492B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5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Normal0"/>
    <w:next w:val="Normal0"/>
    <w:uiPriority w:val="9"/>
    <w:qFormat/>
    <w:rsid w:val="0035588F"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Normal0"/>
    <w:next w:val="Normal0"/>
    <w:uiPriority w:val="9"/>
    <w:unhideWhenUsed/>
    <w:qFormat/>
    <w:rsid w:val="0035588F"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Normal0"/>
    <w:next w:val="Normal0"/>
    <w:uiPriority w:val="9"/>
    <w:unhideWhenUsed/>
    <w:qFormat/>
    <w:rsid w:val="0035588F"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Normal0"/>
    <w:next w:val="Normal0"/>
    <w:uiPriority w:val="9"/>
    <w:unhideWhenUsed/>
    <w:qFormat/>
    <w:rsid w:val="0035588F"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Normal0"/>
    <w:next w:val="Normal0"/>
    <w:uiPriority w:val="9"/>
    <w:unhideWhenUsed/>
    <w:qFormat/>
    <w:rsid w:val="0035588F"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Normal0"/>
    <w:next w:val="Normal0"/>
    <w:uiPriority w:val="9"/>
    <w:unhideWhenUsed/>
    <w:qFormat/>
    <w:rsid w:val="0035588F"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Normal0"/>
    <w:next w:val="Normal0"/>
    <w:uiPriority w:val="9"/>
    <w:unhideWhenUsed/>
    <w:qFormat/>
    <w:rsid w:val="0035588F"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Normal0"/>
    <w:next w:val="Normal0"/>
    <w:uiPriority w:val="9"/>
    <w:unhideWhenUsed/>
    <w:qFormat/>
    <w:rsid w:val="0035588F"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Normal0"/>
    <w:next w:val="Normal0"/>
    <w:uiPriority w:val="9"/>
    <w:unhideWhenUsed/>
    <w:qFormat/>
    <w:rsid w:val="0035588F"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rsid w:val="0035588F"/>
    <w:pPr>
      <w:spacing w:after="0" w:line="240" w:lineRule="auto"/>
    </w:pPr>
  </w:style>
  <w:style w:type="paragraph" w:styleId="a4">
    <w:name w:val="Title"/>
    <w:basedOn w:val="Normal0"/>
    <w:next w:val="Normal0"/>
    <w:uiPriority w:val="10"/>
    <w:qFormat/>
    <w:rsid w:val="0035588F"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Normal0"/>
    <w:next w:val="Normal0"/>
    <w:uiPriority w:val="11"/>
    <w:qFormat/>
    <w:rsid w:val="0035588F"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Normal0"/>
    <w:next w:val="Normal0"/>
    <w:uiPriority w:val="29"/>
    <w:qFormat/>
    <w:rsid w:val="0035588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Normal0"/>
    <w:next w:val="Normal0"/>
    <w:uiPriority w:val="30"/>
    <w:qFormat/>
    <w:rsid w:val="0035588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Normal0"/>
    <w:uiPriority w:val="99"/>
    <w:unhideWhenUsed/>
    <w:rsid w:val="0035588F"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Normal0"/>
    <w:uiPriority w:val="99"/>
    <w:unhideWhenUsed/>
    <w:rsid w:val="0035588F"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5588F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sid w:val="0035588F"/>
    <w:rPr>
      <w:color w:val="0000FF"/>
      <w:u w:val="single"/>
    </w:rPr>
  </w:style>
  <w:style w:type="numbering" w:customStyle="1" w:styleId="GenStyleDefNum">
    <w:name w:val="GenStyleDefNum"/>
    <w:rsid w:val="0035588F"/>
  </w:style>
  <w:style w:type="table" w:customStyle="1" w:styleId="GenStyleDefTable">
    <w:name w:val="GenStyleDefTable"/>
    <w:rsid w:val="0035588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enStyleDefTableGrid">
    <w:name w:val="GenStyleDefTableGrid"/>
    <w:basedOn w:val="GenStyleDefTable"/>
    <w:uiPriority w:val="59"/>
    <w:rsid w:val="003558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08" w:type="dxa"/>
        <w:right w:w="108" w:type="dxa"/>
      </w:tblCellMar>
    </w:tblPr>
  </w:style>
  <w:style w:type="paragraph" w:customStyle="1" w:styleId="Normal0">
    <w:name w:val="Normal_0"/>
    <w:rsid w:val="0035588F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customStyle="1" w:styleId="ListParagraphChar">
    <w:name w:val="List Paragraph Char"/>
    <w:rsid w:val="0035588F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sid w:val="0035588F"/>
    <w:rPr>
      <w:b w:val="0"/>
    </w:rPr>
  </w:style>
  <w:style w:type="paragraph" w:customStyle="1" w:styleId="Heading">
    <w:name w:val="Heading"/>
    <w:basedOn w:val="Normal0"/>
    <w:next w:val="Textbody"/>
    <w:rsid w:val="0035588F"/>
    <w:pPr>
      <w:keepNext/>
      <w:spacing w:before="240" w:after="120"/>
    </w:pPr>
    <w:rPr>
      <w:rFonts w:ascii="KodchiangUPC" w:eastAsia="KodchiangUPC" w:hAnsi="KodchiangUPC" w:cs="KodchiangUPC"/>
      <w:sz w:val="28"/>
      <w:szCs w:val="28"/>
    </w:rPr>
  </w:style>
  <w:style w:type="paragraph" w:customStyle="1" w:styleId="Textbody">
    <w:name w:val="Text body"/>
    <w:basedOn w:val="Normal0"/>
    <w:rsid w:val="0035588F"/>
    <w:pPr>
      <w:spacing w:after="120"/>
    </w:pPr>
  </w:style>
  <w:style w:type="paragraph" w:styleId="a8">
    <w:name w:val="List"/>
    <w:basedOn w:val="Textbody"/>
    <w:rsid w:val="0035588F"/>
    <w:rPr>
      <w:rFonts w:cs="KodchiangUPC"/>
    </w:rPr>
  </w:style>
  <w:style w:type="paragraph" w:customStyle="1" w:styleId="12">
    <w:name w:val="Название объекта1"/>
    <w:basedOn w:val="Normal0"/>
    <w:rsid w:val="0035588F"/>
    <w:pPr>
      <w:spacing w:before="120" w:after="120"/>
    </w:pPr>
    <w:rPr>
      <w:rFonts w:cs="KodchiangUPC"/>
      <w:i/>
      <w:iCs/>
      <w:szCs w:val="24"/>
    </w:rPr>
  </w:style>
  <w:style w:type="paragraph" w:customStyle="1" w:styleId="Index">
    <w:name w:val="Index"/>
    <w:basedOn w:val="Normal0"/>
    <w:rsid w:val="0035588F"/>
    <w:rPr>
      <w:rFonts w:cs="KodchiangUPC"/>
    </w:rPr>
  </w:style>
  <w:style w:type="paragraph" w:styleId="a9">
    <w:name w:val="List Paragraph"/>
    <w:basedOn w:val="Normal0"/>
    <w:rsid w:val="003558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2859</Characters>
  <Application>Microsoft Office Word</Application>
  <DocSecurity>0</DocSecurity>
  <Lines>23</Lines>
  <Paragraphs>6</Paragraphs>
  <ScaleCrop>false</ScaleCrop>
  <Company>Ascensio System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Юридическая_контора Закон_и_право</cp:lastModifiedBy>
  <cp:revision>4</cp:revision>
  <cp:lastPrinted>2016-04-27T03:33:00Z</cp:lastPrinted>
  <dcterms:created xsi:type="dcterms:W3CDTF">2016-04-27T03:32:00Z</dcterms:created>
  <dcterms:modified xsi:type="dcterms:W3CDTF">2022-01-06T11:51:00Z</dcterms:modified>
</cp:coreProperties>
</file>