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5.0.0 -->
  <w:body>
    <w:p>
      <w:pPr>
        <w:spacing w:before="240" w:after="0"/>
        <w:jc w:val="both"/>
        <w:rPr>
          <w:rFonts w:ascii="Times New Roman" w:eastAsia="Times New Roman" w:hAnsi="Times New Roman" w:cs="Times New Roman" w:hint="cs"/>
          <w:b w:val="0"/>
          <w:color w:val="00000A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A"/>
          <w:sz w:val="28"/>
          <w:szCs w:val="24"/>
          <w:lang w:val="en-US"/>
        </w:rPr>
        <w:t xml:space="preserve"> 2-14862/2015</w:t>
      </w:r>
    </w:p>
    <w:tbl>
      <w:tblPr>
        <w:tblW w:w="1097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5812"/>
        <w:gridCol w:w="3000"/>
      </w:tblGrid>
      <w:tr>
        <w:tblPrEx>
          <w:tblW w:w="1097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59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default"/>
                <w:b w:val="0"/>
                <w:color w:val="000000"/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clear" w:pos="720"/>
              </w:tabs>
              <w:spacing w:after="0" w:line="240" w:lineRule="auto"/>
              <w:ind w:left="654"/>
              <w:jc w:val="center"/>
              <w:rPr>
                <w:rFonts w:ascii="Times New Roman" w:eastAsia="Times New Roman" w:hAnsi="Times New Roman" w:cs="Times New Roman" w:hint="default"/>
                <w:b w:val="0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/>
                <w:color w:val="0070C0"/>
                <w:sz w:val="28"/>
              </w:rPr>
              <w:drawing>
                <wp:inline distT="0" distB="0" distL="0" distR="0">
                  <wp:extent cx="935354" cy="935354"/>
                  <wp:docPr id="1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default"/>
                <w:b w:val="0"/>
                <w:color w:val="000000"/>
                <w:sz w:val="28"/>
              </w:rPr>
            </w:pPr>
          </w:p>
        </w:tc>
      </w:tr>
      <w:tr>
        <w:tblPrEx>
          <w:tblW w:w="1097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2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tabs>
                <w:tab w:val="clear" w:pos="720"/>
              </w:tabs>
              <w:spacing w:after="0" w:line="212" w:lineRule="atLeast"/>
              <w:jc w:val="center"/>
              <w:rPr>
                <w:rFonts w:ascii="Times New Roman" w:eastAsia="Times New Roman" w:hAnsi="Times New Roman" w:cs="Times New Roman" w:hint="default"/>
                <w:b w:val="0"/>
                <w:color w:val="000000"/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tabs>
                <w:tab w:val="clear" w:pos="720"/>
              </w:tabs>
              <w:spacing w:after="0" w:line="212" w:lineRule="atLeast"/>
              <w:ind w:left="688"/>
              <w:jc w:val="center"/>
              <w:rPr>
                <w:rFonts w:ascii="Times New Roman" w:eastAsia="Times New Roman" w:hAnsi="Times New Roman" w:cs="Times New Roman" w:hint="default"/>
                <w:b w:val="0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color w:val="000000"/>
                <w:sz w:val="28"/>
                <w:szCs w:val="24"/>
              </w:rPr>
              <w:t>РЕШЕНИЕ</w:t>
            </w:r>
          </w:p>
          <w:p>
            <w:pPr>
              <w:tabs>
                <w:tab w:val="clear" w:pos="720"/>
              </w:tabs>
              <w:spacing w:after="0" w:line="212" w:lineRule="atLeast"/>
              <w:ind w:left="688"/>
              <w:jc w:val="center"/>
              <w:rPr>
                <w:rFonts w:ascii="Times New Roman" w:eastAsia="Times New Roman" w:hAnsi="Times New Roman" w:cs="Times New Roman" w:hint="cs"/>
                <w:b w:val="0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color w:val="000000"/>
                <w:sz w:val="28"/>
                <w:szCs w:val="24"/>
              </w:rPr>
              <w:t>ИМЕНЕМ РЕСПУБЛИКИ КАЗАХСТАН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tabs>
                <w:tab w:val="clear" w:pos="720"/>
              </w:tabs>
              <w:spacing w:after="0" w:line="212" w:lineRule="atLeast"/>
              <w:jc w:val="center"/>
              <w:rPr>
                <w:rFonts w:ascii="Times New Roman" w:eastAsia="Times New Roman" w:hAnsi="Times New Roman" w:cs="Times New Roman" w:hint="default"/>
                <w:b w:val="0"/>
                <w:color w:val="000000"/>
                <w:sz w:val="28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center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3 февраля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2015 года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г. Астана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Специализированный межрайонный экономический суд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города Астаны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составе председательствующего судьи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Кабидолдиной С.С., при секретаре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Ергеш Г.К.,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 участием прокурора Байгозиева Б.Т., представителя истца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Крат Е.В. по доверенности от 16 сентября 2015 года,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представителя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ответчика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Демесинова Б.М. по доверенности от 12 января 2016 года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гражданское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дело по иску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ГККП «Противотуберкулезный диспансер города Астана» акимата города Астаны к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РГКП «Центр по недвижимости по городу Астана КРС и ОПП МЮ РК»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 понуждении выдать технический паспорт и взыскании неустойки,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center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установил: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ГККП «Противотуберкулезный диспансер города Астана» акимата города Астаны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обратилось в суд с иском к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РГКП «Центр по недвижимости по городу Астана КРС и ОПП МЮ РК»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 понуждении выдать технический паспорт и взыскании неустойки, в обоснование иска указало, что 2 сентября 2014 г.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стороны заключили договора на проведение технического обследования за №№248/282, 249/280 и 250/281, в соответствии с которыми ответчико принято обязательство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 проведении технического обследования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объектов недвижимости по адресу: г.Астана, ул.Манаса 14, 14/1, 14/2 в котором располагается предприятие, согласно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п. 3.2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договоров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срок оказания услуги составляет 20 рабочих дней с момента вступления договора в силу,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согласно п.5.1.2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ответчик обязан изготовить технический паспорт в срок в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соответствии с Правилами проведения государственного технического обследования недвижимости имущества и альбомом условных обозначений,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от 9 августа 2010 года №245, однако, договорные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обязательства ответчиком до настоящего времени не исполнены,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просит суд обязать ответчика выдать технический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паспорт на вышеуказанные объекты и выплатить неустойку в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размере 18.042 тенге.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суде представитель истца иск поддержала, просила обязать ответчика выдать технический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паспорт на вышеуказанные объекты и выплатить неустойку в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размере 18.042 тенге.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суде представитель ответчика с иском не согласился, суду пояснил, что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во исполнении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договоров в соответствии со Стандартом государственной услуги «Выдача технического паспорта на объект недвижимость» утвержденный постановлением правительства РК от 31 декабря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2013 года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за №1586, 8 сентября 2014 года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истцом было подано заявление на предоставление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государственной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услуги, во исполнение требований стандарта истцом произведена предоплата в размере 80 процентов,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на общую сумму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285.676 тенге,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3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октября 2014 года в связи с отсутствием доступа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к объекту недвижимости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ответчиком заявление возвращено без исполнения,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9 октября 2014 года истцом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повторно подано заявление на проведение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обследования,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на основании актов обследования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объекта в соответствии с п.п.2.3 договоров в связи с изменением объема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оказываемых услуг составлено дополнительное соглашение от 2 сентября 2014 года, в соответствии с которым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сумма доплаты составила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по трем договорам 620.564 тенге, в связи с отсутствием оплаты, изготовленные технические паспорта на объекты недвижимости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были сданы в архив,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просит суд отказать в удовлетворении иска,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считает,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истцом не были выполнены обязательства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части оплаты стоимости услуг.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Суд, выслушав пояснения представителей сторон,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изучив материалы дела, заключение прокурора,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полагавшего иск подлежащим отклонению, приходит к следующему выводу.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Из материалов дела видно, что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между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ГККП «Противотуберкулезный диспансер города Астана» акимата города Астаны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РГКП «Центр по недвижимости по городу Астана КРС и ОПП МЮ РК»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2 сентября 2014 г. были заключены 3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договора на проведение технического обследования за №№248/282, 249/280 и 250/281, в соответствии с которыми ответчиком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принято обязательство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 проведении технического обследования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объектов недвижимости по адресу: г.Астана, ул.Манаса 14, 14/1, 14/2 в котором располагается предприятие.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соответствии с п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.3 п.п.3.1 договоров,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исполнитель оказывает услуги после наступления всех трех взаимосвязанных условий- обращения заказчика с заявлением (заказом) о проведении технического обследования; получения копий следующих документов – учредительных документов, правоустанавливающих документов на объекты недвижимости, приказ о присвоении адреса,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электронный, бумажный носитель эскизного проекта, документы, подтверждающие полномочия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представителя, удостоверения личности заявителя;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представления документа, подтверждающего поступление 80% оплаты от общей суммы договора.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Согласно п.п.3.2 договоров срок выполнения услуги составляет в течение двадцати рабочих дней с момента вступления договора в силу и обращения заказчика к исполнителю в соответствии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со стандартом государственных услуг.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Дальнейшее продление срока производится в зависимости от категории сложности объекта по согласованию сторон, при этом общий срок не должен превышать 3-х месяцев.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суде представитель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ответчика пояснил, что изначально стоимость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услуг в договорах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была указана на основании сведений истца, однако, после проведения обследования объектов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недвижимости, общий площадь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объектов недвижимости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изменена, с учетом этого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категория сложности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 прейскурант цен, в связи с чем, был составлен новый расчет, однако,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проект дополнительного соглашения к договору и расчет не был представлен истцу.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Из предоставленных сторонами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письменных доказательств видно,что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стоимость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оказываемых услуг изначально была определена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по трем договорам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размере 360.845 тенге, истцом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произведена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предоплата в размере 80% от указанной суммы, однако,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после проведения обследования объекта недвижимости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связи с изменением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общей площади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 категории сложности недвижимости ответчиком был произведен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новый расчет, в соответствии с которым сумма доплаты составила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по трем договорам 620.564 тенге, в связи с отсутствием оплаты, изготовленные технические паспорта на объекты недвижимости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были сданы в архив.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Вместе с тем, согласно п.п.2.3 п.2 договора в случае изменения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объема оказываемых услуг после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проведения обследования (общей площади, категории сложности объекта недвижимости и изменении в прейскуранте цен), стороны оговаривают данные обстоятельства дополнительным соглашением к договору и производят взаимрасчет с учетом данных изменений.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соответствии с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п.4.1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договора выдача технического паспорта производится после поступления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100% оплаты от суммы договора и оформляется актом выполненных работ, который подписывается уполномоченными представителями обеих сторон. Также предусматривается промежуточный акт выполненных работ по предварительным оплатам, который подписывается уполномоченными представителями обеих сторон.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соответствии с п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.1 ст. 683 ГК, по договору возмездного оказания услуг исполнитель обязуется по заданию заказчика оказать услуги (совершить определенные действия или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осуществить определенную деятельность), а заказчик обязуется оплатить эти услуги.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Однако судом установлено, что в нарушение условий договора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 требований законодательства между сторонами отсутствует акт выполненных работ,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тем самым,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стоимость услуг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истцом не была оплачена,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кроме того,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вопрос о подписании дополнительного соглашения не был разрешен,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тогда как согласно п.1 ст. 402 ГК соглашение об изменении договора совершается в той же форме, что и договор,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если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из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законодательства, договора или обычаев делового оборота не вытекает иное.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При указанных обстоятельствах, требование ГККП «Противотуберкулезный диспансер города Астана» акимата города Астаны к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РГКП «Центр по недвижимости по городу Астана КРС и ОПП МЮ РК»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о понуждении выдать технический паспорт заявлено преждевременно, подлежит оставлению без удовлетворения.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Согласно п. 1 ст. 349 ГК РК под нарушением обязательства понимается его неисполнение либо исполнение ненадлежащим образом.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3780"/>
        </w:tabs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Согласно ст. 293 ГК РК неустойкой (штрафом, пеней) признается определенная законодательством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Поскольку между сторонами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 соответствии с п.п.2.3 не был разрешен вопрос о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заключении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дополнительного соглашения, кроме того,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при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заключении договора стороны п.4.1 предусмотрели порядок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выдачи технического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паспорта после поступления 100% оплаты от суммы договора и при наличии акта выполненных работ,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суд оснований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для удовлетворения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иска ГККП «Противотуберкулезный диспансер города Астана» акимата города Астаны к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РГКП «Центр по недвижимости по городу Астана КРС и ОПП МЮ РК»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взыскании неустойки, не усматривает.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Таким образом, учитывая установленные в ходе рассмотрения дела обстоятельства, иск ГККП «Противотуберкулезный диспансер города Астана» акимата города Астаны к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РГКП «Центр по недвижимости по городу Астана КРС и ОПП МЮ РК»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 понуждении выдать технический паспорт и взыскании неустойки, подлежит оставлению без удовлетворения.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Руководствуясь со ст. ст. 2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23-226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ГПК, суд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center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Решил: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В удовлетворении иска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ГККП «Противотуберкулезный диспансер города Астана» акимата города Астаны к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РГКП «Центр по недвижимости по городу Астана КРС и ОПП МЮ РК»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о понуждении выдать технический паспорт и взыскании неустойки, отказать.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Решение может быть обжаловано сторонами или опротестовано прокурором в апелляционную судебную коллегию по гражданским и административным делам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суда города Астаны в течение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одного месяца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со дня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вынесения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решения в окончательной форме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через специализированный межрайонный экономический суд города Астаны с соблюдением требований ст.ст.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403, 404 ГПК Республики Казахстан.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</w:p>
    <w:p>
      <w:pPr>
        <w:spacing w:before="240" w:after="0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color w:val="00000A"/>
          <w:sz w:val="28"/>
          <w:szCs w:val="24"/>
        </w:rPr>
        <w:t>Судья</w:t>
      </w:r>
      <w:r>
        <w:rPr>
          <w:rFonts w:ascii="Times New Roman" w:eastAsia="Times New Roman" w:hAnsi="Times New Roman" w:cs="Times New Roman" w:hint="cs"/>
          <w:b w:val="0"/>
          <w:color w:val="00000A"/>
          <w:sz w:val="28"/>
          <w:szCs w:val="24"/>
        </w:rPr>
        <w:tab/>
      </w:r>
      <w:r>
        <w:rPr>
          <w:rFonts w:ascii="Times New Roman" w:eastAsia="Times New Roman" w:hAnsi="Times New Roman" w:cs="Times New Roman" w:hint="cs"/>
          <w:b w:val="0"/>
          <w:color w:val="00000A"/>
          <w:sz w:val="28"/>
          <w:szCs w:val="24"/>
        </w:rPr>
        <w:tab/>
      </w:r>
      <w:r>
        <w:rPr>
          <w:rFonts w:ascii="Times New Roman" w:eastAsia="Times New Roman" w:hAnsi="Times New Roman" w:cs="Times New Roman" w:hint="cs"/>
          <w:b w:val="0"/>
          <w:color w:val="00000A"/>
          <w:sz w:val="28"/>
          <w:szCs w:val="24"/>
        </w:rPr>
        <w:tab/>
      </w:r>
      <w:r>
        <w:rPr>
          <w:rFonts w:ascii="Times New Roman" w:eastAsia="Times New Roman" w:hAnsi="Times New Roman" w:cs="Times New Roman" w:hint="cs"/>
          <w:b w:val="0"/>
          <w:color w:val="00000A"/>
          <w:sz w:val="28"/>
          <w:szCs w:val="24"/>
        </w:rPr>
        <w:tab/>
      </w:r>
      <w:r>
        <w:rPr>
          <w:rFonts w:ascii="Times New Roman" w:eastAsia="Times New Roman" w:hAnsi="Times New Roman" w:cs="Times New Roman" w:hint="cs"/>
          <w:b w:val="0"/>
          <w:color w:val="00000A"/>
          <w:sz w:val="28"/>
          <w:szCs w:val="24"/>
        </w:rPr>
        <w:tab/>
      </w:r>
      <w:r>
        <w:rPr>
          <w:rFonts w:ascii="Times New Roman" w:eastAsia="Times New Roman" w:hAnsi="Times New Roman" w:cs="Times New Roman" w:hint="cs"/>
          <w:b w:val="0"/>
          <w:color w:val="00000A"/>
          <w:sz w:val="28"/>
          <w:szCs w:val="24"/>
        </w:rPr>
        <w:tab/>
      </w:r>
      <w:r>
        <w:rPr>
          <w:rFonts w:ascii="Times New Roman" w:eastAsia="Times New Roman" w:hAnsi="Times New Roman" w:cs="Times New Roman" w:hint="cs"/>
          <w:b w:val="0"/>
          <w:color w:val="00000A"/>
          <w:sz w:val="28"/>
          <w:szCs w:val="24"/>
        </w:rPr>
        <w:t>Кабидолдина С. С.</w:t>
      </w:r>
    </w:p>
    <w:p>
      <w:pPr>
        <w:spacing w:before="240" w:after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</w:p>
    <w:sectPr>
      <w:headerReference w:type="default" r:id="rId5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ahoma">
    <w:charset w:val="00"/>
    <w:family w:val="auto"/>
    <w:pitch w:val="default"/>
  </w:font>
  <w:font w:name="KodchiangUPC">
    <w:charset w:val="00"/>
    <w:family w:val="auto"/>
    <w:pitch w:val="default"/>
  </w:font>
  <w:font w:name="Times New Roman">
    <w:charset w:val="00"/>
    <w:family w:val="auto"/>
    <w:pitch w:val="default"/>
  </w:font>
  <w:font w:name="Cambria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390pt;margin-left:0;margin-top:0;mso-position-horizontal:left;mso-position-horizontal-relative:page;mso-position-vertical:bottom;mso-position-vertical-relative:page;position:absolute;width:400pt;z-index:-251658240">
          <v:imagedata r:id="rId1" o:title=""/>
        </v:shape>
      </w:pict>
    </w:r>
    <w:r>
      <w:pict>
        <v:shape id="_x0000_s2050" type="#_x0000_t75" style="height:600pt;margin-left:5pt;margin-top:50pt;mso-position-horizontal-relative:page;mso-position-vertical-relative:page;position:absolute;width:25pt;z-index:-251657216">
          <v:imagedata r:id="rId2" o:title=""/>
        </v:shape>
      </w:pict>
    </w:r>
    <w:r>
      <w:pict>
        <v:shape id="_x0000_s2051" type="#_x0000_t75" style="height:400pt;margin-left:570pt;margin-top:250pt;mso-position-horizontal-relative:page;mso-position-vertical-relative:page;position:absolute;width:25pt;z-index:-251656192">
          <v:imagedata r:id="rId3" o:title=""/>
        </v:shape>
      </w:pict>
    </w:r>
    <w:r>
      <w:pict>
        <v:shape id="_x0000_s2052" type="#_x0000_t75" style="height:40pt;margin-left:7pt;margin-top:750pt;mso-position-horizontal-relative:page;mso-position-vertical-relative:page;position:absolute;width:40pt;z-index:-251655168">
          <v:imagedata r:id="rId4" o:title=""/>
        </v:shape>
      </w:pict>
    </w:r>
    <w:r>
      <w:pict>
        <v:shape id="_x0000_s2053" type="#_x0000_t75" style="height:25pt;margin-left:11pt;margin-top:790pt;mso-position-horizontal-relative:page;mso-position-vertical-relative:page;position:absolute;width:200pt;z-index:-251654144">
          <v:imagedata r:id="rId5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 w:hint="default"/>
        <w:color w:val="000000"/>
        <w:spacing w:val="0"/>
        <w:position w:val="0"/>
        <w:sz w:val="22"/>
        <w:szCs w:val="22"/>
        <w:lang w:val="ru-RU" w:eastAsia="ru-RU" w:bidi="ar-SA"/>
      </w:rPr>
    </w:rPrDefault>
    <w:pPrDefault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</w:pPr>
    <w:rPr>
      <w:rFonts w:ascii="Times New Roman" w:eastAsia="Times New Roman" w:hAnsi="Times New Roman" w:cs="Times New Roman" w:hint="default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 w:after="0"/>
    </w:pPr>
    <w:rPr>
      <w:b/>
      <w:color w:val="000000"/>
      <w:sz w:val="48"/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</w:pPr>
    <w:rPr>
      <w:b/>
      <w:color w:val="000000"/>
      <w:sz w:val="40"/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</w:pPr>
    <w:rPr>
      <w:b/>
      <w:i/>
      <w:color w:val="000000"/>
      <w:sz w:val="36"/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</w:pPr>
    <w:rPr>
      <w:b/>
      <w:color w:val="606060"/>
      <w:sz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</w:pPr>
    <w:rPr>
      <w:color w:val="444444"/>
      <w:sz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Header">
    <w:name w:val="Header"/>
    <w:basedOn w:val="Normal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color w:val="000000"/>
      <w:sz w:val="22"/>
    </w:rPr>
  </w:style>
  <w:style w:type="paragraph" w:customStyle="1" w:styleId="Footer">
    <w:name w:val="Footer"/>
    <w:basedOn w:val="Normal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color w:val="000000"/>
      <w:sz w:val="22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000000"/>
        </w:tcBorders>
      </w:tcPr>
    </w:tblStylePr>
    <w:tblStylePr w:type="firstRow">
      <w:tcPr>
        <w:tcBorders>
          <w:bottom w:val="single" w:sz="18" w:space="0" w:color="000000"/>
        </w:tcBorders>
      </w:tcPr>
    </w:tblStylePr>
    <w:tblStylePr w:type="lastCol">
      <w:tcPr>
        <w:tcBorders>
          <w:left w:val="single" w:sz="18" w:space="0" w:color="000000"/>
        </w:tcBorders>
      </w:tcPr>
    </w:tblStylePr>
    <w:tblStylePr w:type="lastRow">
      <w:tcPr>
        <w:tcBorders>
          <w:top w:val="single" w:sz="18" w:space="0" w:color="00000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365F91"/>
        </w:tcBorders>
      </w:tcPr>
    </w:tblStylePr>
    <w:tblStylePr w:type="firstRow">
      <w:tcPr>
        <w:tcBorders>
          <w:bottom w:val="single" w:sz="18" w:space="0" w:color="365F91"/>
        </w:tcBorders>
      </w:tcPr>
    </w:tblStylePr>
    <w:tblStylePr w:type="lastCol">
      <w:tcPr>
        <w:tcBorders>
          <w:left w:val="single" w:sz="18" w:space="0" w:color="365F91"/>
        </w:tcBorders>
      </w:tcPr>
    </w:tblStylePr>
    <w:tblStylePr w:type="lastRow">
      <w:tcPr>
        <w:tcBorders>
          <w:top w:val="single" w:sz="18" w:space="0" w:color="365F9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943634"/>
        </w:tcBorders>
      </w:tcPr>
    </w:tblStylePr>
    <w:tblStylePr w:type="firstRow">
      <w:tcPr>
        <w:tcBorders>
          <w:bottom w:val="single" w:sz="18" w:space="0" w:color="943634"/>
        </w:tcBorders>
      </w:tcPr>
    </w:tblStylePr>
    <w:tblStylePr w:type="lastCol">
      <w:tcPr>
        <w:tcBorders>
          <w:left w:val="single" w:sz="18" w:space="0" w:color="943634"/>
        </w:tcBorders>
      </w:tcPr>
    </w:tblStylePr>
    <w:tblStylePr w:type="lastRow">
      <w:tcPr>
        <w:tcBorders>
          <w:top w:val="single" w:sz="18" w:space="0" w:color="943634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76923C"/>
        </w:tcBorders>
      </w:tcPr>
    </w:tblStylePr>
    <w:tblStylePr w:type="firstRow">
      <w:tcPr>
        <w:tcBorders>
          <w:bottom w:val="single" w:sz="18" w:space="0" w:color="76923C"/>
        </w:tcBorders>
      </w:tcPr>
    </w:tblStylePr>
    <w:tblStylePr w:type="lastCol">
      <w:tcPr>
        <w:tcBorders>
          <w:left w:val="single" w:sz="18" w:space="0" w:color="76923C"/>
        </w:tcBorders>
      </w:tcPr>
    </w:tblStylePr>
    <w:tblStylePr w:type="lastRow">
      <w:tcPr>
        <w:tcBorders>
          <w:top w:val="single" w:sz="18" w:space="0" w:color="76923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5F497A"/>
        </w:tcBorders>
      </w:tcPr>
    </w:tblStylePr>
    <w:tblStylePr w:type="firstRow">
      <w:tcPr>
        <w:tcBorders>
          <w:bottom w:val="single" w:sz="18" w:space="0" w:color="5F497A"/>
        </w:tcBorders>
      </w:tcPr>
    </w:tblStylePr>
    <w:tblStylePr w:type="lastCol">
      <w:tcPr>
        <w:tcBorders>
          <w:left w:val="single" w:sz="18" w:space="0" w:color="5F497A"/>
        </w:tcBorders>
      </w:tcPr>
    </w:tblStylePr>
    <w:tblStylePr w:type="lastRow">
      <w:tcPr>
        <w:tcBorders>
          <w:top w:val="single" w:sz="18" w:space="0" w:color="5F497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31849B"/>
        </w:tcBorders>
      </w:tcPr>
    </w:tblStylePr>
    <w:tblStylePr w:type="firstRow">
      <w:tcPr>
        <w:tcBorders>
          <w:bottom w:val="single" w:sz="18" w:space="0" w:color="31849B"/>
        </w:tcBorders>
      </w:tcPr>
    </w:tblStylePr>
    <w:tblStylePr w:type="lastCol">
      <w:tcPr>
        <w:tcBorders>
          <w:left w:val="single" w:sz="18" w:space="0" w:color="31849B"/>
        </w:tcBorders>
      </w:tcPr>
    </w:tblStylePr>
    <w:tblStylePr w:type="lastRow">
      <w:tcPr>
        <w:tcBorders>
          <w:top w:val="single" w:sz="18" w:space="0" w:color="31849B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E36C0A"/>
        </w:tcBorders>
      </w:tcPr>
    </w:tblStylePr>
    <w:tblStylePr w:type="firstRow">
      <w:tcPr>
        <w:tcBorders>
          <w:bottom w:val="single" w:sz="18" w:space="0" w:color="E36C0A"/>
        </w:tcBorders>
      </w:tcPr>
    </w:tblStylePr>
    <w:tblStylePr w:type="lastCol">
      <w:tcPr>
        <w:tcBorders>
          <w:left w:val="single" w:sz="18" w:space="0" w:color="E36C0A"/>
        </w:tcBorders>
      </w:tcPr>
    </w:tblStylePr>
    <w:tblStylePr w:type="lastRow">
      <w:tcPr>
        <w:tcBorders>
          <w:top w:val="single" w:sz="18" w:space="0" w:color="E36C0A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customStyle="1" w:styleId="GenStyleDefTableGrid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KodchiangUPC" w:eastAsia="KodchiangUPC" w:hAnsi="KodchiangUPC" w:cs="KodchiangUPC" w:hint="default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KodchiangUPC" w:hint="default"/>
    </w:rPr>
  </w:style>
  <w:style w:type="paragraph" w:styleId="Caption">
    <w:name w:val="caption"/>
    <w:basedOn w:val="Normal"/>
    <w:pPr>
      <w:spacing w:before="120" w:after="120"/>
    </w:pPr>
    <w:rPr>
      <w:rFonts w:cs="KodchiangUPC" w:hint="default"/>
      <w:i/>
      <w:iCs/>
      <w:szCs w:val="24"/>
    </w:rPr>
  </w:style>
  <w:style w:type="paragraph" w:customStyle="1" w:styleId="Index">
    <w:name w:val="Index"/>
    <w:basedOn w:val="Normal"/>
    <w:rPr>
      <w:rFonts w:cs="KodchiangUPC" w:hint="default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 w:hint="default"/>
      <w:sz w:val="16"/>
      <w:szCs w:val="16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eastAsia="Times New Roman" w:hAnsi="Tahoma" w:cs="Tahoma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Ascensio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