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74328D1" w:rsidR="00A81D5F" w:rsidRPr="00455E32" w:rsidRDefault="00A309A6" w:rsidP="00455E32">
      <w:pPr>
        <w:jc w:val="center"/>
        <w:rPr>
          <w:rFonts w:ascii="Times New Roman" w:hAnsi="Times New Roman" w:cs="Times New Roman"/>
          <w:b/>
          <w:bCs/>
          <w:sz w:val="24"/>
          <w:szCs w:val="24"/>
        </w:rPr>
      </w:pPr>
      <w:r w:rsidRPr="00455E32">
        <w:rPr>
          <w:rFonts w:ascii="Times New Roman" w:hAnsi="Times New Roman" w:cs="Times New Roman"/>
          <w:b/>
          <w:bCs/>
          <w:sz w:val="24"/>
          <w:szCs w:val="24"/>
        </w:rPr>
        <w:t>Алименты на содержание нетрудоспособных совершеннолетних детей</w:t>
      </w:r>
    </w:p>
    <w:p w14:paraId="1C113091" w14:textId="5A80DFE0" w:rsidR="00F173BA" w:rsidRPr="00455E32" w:rsidRDefault="00F173BA" w:rsidP="00455E32">
      <w:pPr>
        <w:jc w:val="both"/>
        <w:rPr>
          <w:rFonts w:ascii="Times New Roman" w:hAnsi="Times New Roman" w:cs="Times New Roman"/>
          <w:sz w:val="24"/>
          <w:szCs w:val="24"/>
        </w:rPr>
      </w:pPr>
    </w:p>
    <w:p w14:paraId="43E970C7" w14:textId="77777777" w:rsidR="00455E32" w:rsidRDefault="005639A5" w:rsidP="00455E32">
      <w:pPr>
        <w:ind w:firstLine="720"/>
        <w:jc w:val="both"/>
        <w:rPr>
          <w:rFonts w:ascii="Times New Roman" w:hAnsi="Times New Roman" w:cs="Times New Roman"/>
          <w:sz w:val="24"/>
          <w:szCs w:val="24"/>
        </w:rPr>
      </w:pPr>
      <w:r w:rsidRPr="00455E32">
        <w:rPr>
          <w:rFonts w:ascii="Times New Roman" w:hAnsi="Times New Roman" w:cs="Times New Roman"/>
          <w:sz w:val="24"/>
          <w:szCs w:val="24"/>
        </w:rPr>
        <w:t xml:space="preserve">В отличие от дел о взыскании алиментов на несовершеннолетних детей, судебная практика по разрешению споров, связанных с взысканием алиментов на совершеннолетних нетрудоспособных детей, незначительна. В силу статьи 143 Кодекса трудоспособные родители обязаны содержать своих нетрудоспособных совершеннолетних детей, нуждающихся в помощи. При отсутствии соглашения об уплате алиментов размер алиментов на нетрудоспособных совершеннолетних детей определяется судом в кратном отношении к месячному расчетному показателю (далее – МРП), действующему на момент выплаты алиментов, исходя из материального и семейного положения и других заслуживающих внимания интересов сторон. К нетрудоспособным лицам суды относят совершеннолетних детей, признанных в установленном порядке инвалидами. </w:t>
      </w:r>
    </w:p>
    <w:p w14:paraId="0A890537" w14:textId="64873D85" w:rsidR="00455E32" w:rsidRDefault="005639A5" w:rsidP="00455E32">
      <w:pPr>
        <w:ind w:firstLine="720"/>
        <w:jc w:val="both"/>
        <w:rPr>
          <w:rFonts w:ascii="Times New Roman" w:hAnsi="Times New Roman" w:cs="Times New Roman"/>
          <w:sz w:val="24"/>
          <w:szCs w:val="24"/>
        </w:rPr>
      </w:pPr>
      <w:r w:rsidRPr="00455E32">
        <w:rPr>
          <w:rFonts w:ascii="Times New Roman" w:hAnsi="Times New Roman" w:cs="Times New Roman"/>
          <w:sz w:val="24"/>
          <w:szCs w:val="24"/>
        </w:rPr>
        <w:t xml:space="preserve">В силу подпункта 1) пункта 2 статьи 13 Закона Республики Казахстан «О государственных социальных пособиях по инвалидности и по случаю потери кормильца в Республике Казахстан» от 16 июня 1997 года № 126 (далее – Закон о государственных социальных пособиях) нетрудоспособными членами семьи считаются дети (в том числе усыновленные, пасынки и падчерицы), </w:t>
      </w:r>
      <w:hyperlink r:id="rId6" w:history="1">
        <w:r w:rsidRPr="005365BD">
          <w:rPr>
            <w:rStyle w:val="aa"/>
            <w:rFonts w:ascii="Times New Roman" w:hAnsi="Times New Roman" w:cs="Times New Roman"/>
            <w:sz w:val="24"/>
            <w:szCs w:val="24"/>
          </w:rPr>
          <w:t>не достигшие восемнадцати лет и старше этого</w:t>
        </w:r>
      </w:hyperlink>
      <w:r w:rsidRPr="00455E32">
        <w:rPr>
          <w:rFonts w:ascii="Times New Roman" w:hAnsi="Times New Roman" w:cs="Times New Roman"/>
          <w:sz w:val="24"/>
          <w:szCs w:val="24"/>
        </w:rPr>
        <w:t xml:space="preserve"> возраста, если они стали инвалидами до достижения восемнадцати лет. Обобщение показало, что при определении нуждаемости в получении алиментов совершеннолетнего нетрудоспособного ребенка суды исходили из того, что получение таким ребенком пенсии, стипендии или пособия, наличие у него того или иного имущества не лишает его права на получение содержания от родителей, если имеющихся средств недостаточно для удовлетворения необходимых потребностей. </w:t>
      </w:r>
    </w:p>
    <w:p w14:paraId="36E852A0" w14:textId="77777777" w:rsidR="00455E32" w:rsidRDefault="005639A5" w:rsidP="00455E32">
      <w:pPr>
        <w:ind w:firstLine="720"/>
        <w:jc w:val="both"/>
        <w:rPr>
          <w:rFonts w:ascii="Times New Roman" w:hAnsi="Times New Roman" w:cs="Times New Roman"/>
          <w:sz w:val="24"/>
          <w:szCs w:val="24"/>
        </w:rPr>
      </w:pPr>
      <w:r w:rsidRPr="00455E32">
        <w:rPr>
          <w:rFonts w:ascii="Times New Roman" w:hAnsi="Times New Roman" w:cs="Times New Roman"/>
          <w:sz w:val="24"/>
          <w:szCs w:val="24"/>
        </w:rPr>
        <w:t xml:space="preserve">Факт нуждаемости нетрудоспособного совершеннолетнего ребенка определялся судом в каждом конкретном случае с учетом обстоятельств дела. В этой связи суды проверяли, является ли материальное положение совершеннолетнего нетрудоспособного ребенка достаточным для удовлетворения его жизненных потребностей с учетом его возраста, состояния здоровья и иных обстоятельств (расходов по приобретению необходимых продуктов питания, одежды, лекарственных препаратов, оплаты жилого помещения и коммунальных услуг и т.п.), выясняли, достаточно ли пенсии и иной социальной помощи, получаемой за счет государства, для удовлетворения этих потребностей, какие иные доходы имеются у истца, а также выясняли материальное и семейное положение родителей. К заслуживающим внимания интересам сторон суды относили такие обстоятельства, как наличие инвалидности у ответчика (родителя совершеннолетнего нетрудоспособного ребенка), нуждаемость совершеннолетнего нетрудоспособного ребенка в дополнительном лечении, питании, уходе и другие обстоятельства. </w:t>
      </w:r>
    </w:p>
    <w:p w14:paraId="3C1C3252" w14:textId="77777777" w:rsidR="00455E32" w:rsidRDefault="005639A5" w:rsidP="00455E32">
      <w:pPr>
        <w:ind w:firstLine="720"/>
        <w:jc w:val="both"/>
        <w:rPr>
          <w:rFonts w:ascii="Times New Roman" w:hAnsi="Times New Roman" w:cs="Times New Roman"/>
          <w:sz w:val="24"/>
          <w:szCs w:val="24"/>
        </w:rPr>
      </w:pPr>
      <w:r w:rsidRPr="00455E32">
        <w:rPr>
          <w:rFonts w:ascii="Times New Roman" w:hAnsi="Times New Roman" w:cs="Times New Roman"/>
          <w:sz w:val="24"/>
          <w:szCs w:val="24"/>
        </w:rPr>
        <w:t xml:space="preserve">Пример: Судом № 2 города Уральск по делу, связанному с иском А. к своему отцу Д. о взыскании алиментов в твердой денежной сумме, принято решение о взыскании с ответчика в пользу истца алиментов ежемесячно в твердой денежной сумме в размере 4-кратного МРП, действующего на момент выплаты алиментов. В ходе судебного разбирательства установлено, что истец является инвалидом II группы и страдает тяжелым заболеванием, требующим систематического обследования и лечения. Доход истца состоит из государственного социального пособия по инвалидности 2 группы с детства в размере 38 000 тенге, ежемесячной стипендии в колледже в размере 38 000 тенге. Ежемесячный доход ответчика составляет 43 000 тенге. Истец нуждается в материальной помощи в связи с тем, что после операции на глаза ему рекомендованы лекарственные препараты, общей стоимостью 34 000 </w:t>
      </w:r>
      <w:r w:rsidRPr="00455E32">
        <w:rPr>
          <w:rFonts w:ascii="Times New Roman" w:hAnsi="Times New Roman" w:cs="Times New Roman"/>
          <w:sz w:val="24"/>
          <w:szCs w:val="24"/>
        </w:rPr>
        <w:lastRenderedPageBreak/>
        <w:t xml:space="preserve">тенге, которые необходимо принимать ежемесячно. Суд, исходя из принципа разумности и справедливости, учитывая разницу между доходом истца и расходами на лечение, материальное и семейное положение ответчика, удовлетворил иск частично. </w:t>
      </w:r>
    </w:p>
    <w:p w14:paraId="1D196CDE" w14:textId="01EBAE89" w:rsidR="00F173BA" w:rsidRPr="00455E32" w:rsidRDefault="005639A5" w:rsidP="00455E32">
      <w:pPr>
        <w:ind w:firstLine="720"/>
        <w:jc w:val="both"/>
        <w:rPr>
          <w:rFonts w:ascii="Times New Roman" w:hAnsi="Times New Roman" w:cs="Times New Roman"/>
          <w:sz w:val="24"/>
          <w:szCs w:val="24"/>
        </w:rPr>
      </w:pPr>
      <w:r w:rsidRPr="00455E32">
        <w:rPr>
          <w:rFonts w:ascii="Times New Roman" w:hAnsi="Times New Roman" w:cs="Times New Roman"/>
          <w:sz w:val="24"/>
          <w:szCs w:val="24"/>
        </w:rPr>
        <w:t xml:space="preserve">Истец, ссылаясь на сокрытие ответчиком своих доходов, недостаточность взысканной суммы на лечение, обжаловал указанное решение, которое было оставлено без изменения. Обобщением также выявлено, что суды при рассмотрении дел по искам совершеннолетних детей к одному из родителей </w:t>
      </w:r>
      <w:hyperlink r:id="rId7" w:history="1">
        <w:r w:rsidRPr="00455E32">
          <w:rPr>
            <w:rStyle w:val="aa"/>
            <w:rFonts w:ascii="Times New Roman" w:hAnsi="Times New Roman" w:cs="Times New Roman"/>
            <w:sz w:val="24"/>
            <w:szCs w:val="24"/>
          </w:rPr>
          <w:t>не всегда привлекают к участию в деле в качестве третьего лица</w:t>
        </w:r>
      </w:hyperlink>
      <w:r w:rsidRPr="00455E32">
        <w:rPr>
          <w:rFonts w:ascii="Times New Roman" w:hAnsi="Times New Roman" w:cs="Times New Roman"/>
          <w:sz w:val="24"/>
          <w:szCs w:val="24"/>
        </w:rPr>
        <w:t xml:space="preserve"> второго родителя, не выясняют его материальное и семейное положение. Тогда как второй родитель тоже обязан участвовать в содержании нетрудоспособного совершеннолетнего ребенка.</w:t>
      </w:r>
    </w:p>
    <w:p w14:paraId="02403F08" w14:textId="75BEB719" w:rsidR="00F173BA" w:rsidRPr="00455E32" w:rsidRDefault="00F173BA" w:rsidP="00455E32">
      <w:pPr>
        <w:jc w:val="both"/>
        <w:rPr>
          <w:rFonts w:ascii="Times New Roman" w:hAnsi="Times New Roman" w:cs="Times New Roman"/>
          <w:sz w:val="24"/>
          <w:szCs w:val="24"/>
        </w:rPr>
      </w:pPr>
    </w:p>
    <w:p w14:paraId="308325D5" w14:textId="324F2E94" w:rsidR="00F173BA" w:rsidRPr="00455E32" w:rsidRDefault="00F173BA" w:rsidP="00455E32">
      <w:pPr>
        <w:jc w:val="both"/>
        <w:rPr>
          <w:rFonts w:ascii="Times New Roman" w:hAnsi="Times New Roman" w:cs="Times New Roman"/>
          <w:sz w:val="24"/>
          <w:szCs w:val="24"/>
        </w:rPr>
      </w:pPr>
    </w:p>
    <w:p w14:paraId="22BAA135" w14:textId="6CC745FE" w:rsidR="00F173BA" w:rsidRPr="00455E32" w:rsidRDefault="00F173BA" w:rsidP="00455E32">
      <w:pPr>
        <w:jc w:val="both"/>
        <w:rPr>
          <w:rFonts w:ascii="Times New Roman" w:hAnsi="Times New Roman" w:cs="Times New Roman"/>
          <w:sz w:val="24"/>
          <w:szCs w:val="24"/>
        </w:rPr>
      </w:pPr>
    </w:p>
    <w:p w14:paraId="33D51603" w14:textId="10BA4AEF" w:rsidR="00F173BA" w:rsidRPr="00455E32" w:rsidRDefault="00F173BA" w:rsidP="00455E32">
      <w:pPr>
        <w:jc w:val="both"/>
        <w:rPr>
          <w:rFonts w:ascii="Times New Roman" w:hAnsi="Times New Roman" w:cs="Times New Roman"/>
          <w:sz w:val="24"/>
          <w:szCs w:val="24"/>
        </w:rPr>
      </w:pPr>
    </w:p>
    <w:p w14:paraId="55D95E22" w14:textId="0EFD17BF" w:rsidR="00F173BA" w:rsidRPr="00455E32" w:rsidRDefault="00F173BA" w:rsidP="00455E32">
      <w:pPr>
        <w:jc w:val="both"/>
        <w:rPr>
          <w:rFonts w:ascii="Times New Roman" w:hAnsi="Times New Roman" w:cs="Times New Roman"/>
          <w:sz w:val="24"/>
          <w:szCs w:val="24"/>
        </w:rPr>
      </w:pPr>
    </w:p>
    <w:p w14:paraId="1E84A240" w14:textId="61513D00" w:rsidR="00F173BA" w:rsidRPr="00455E32" w:rsidRDefault="00F173BA" w:rsidP="00455E32">
      <w:pPr>
        <w:jc w:val="both"/>
        <w:rPr>
          <w:rFonts w:ascii="Times New Roman" w:hAnsi="Times New Roman" w:cs="Times New Roman"/>
          <w:sz w:val="24"/>
          <w:szCs w:val="24"/>
        </w:rPr>
      </w:pPr>
    </w:p>
    <w:p w14:paraId="049E1B58" w14:textId="408BB97D" w:rsidR="00F173BA" w:rsidRPr="00455E32" w:rsidRDefault="00F173BA" w:rsidP="00455E32">
      <w:pPr>
        <w:jc w:val="both"/>
        <w:rPr>
          <w:rFonts w:ascii="Times New Roman" w:hAnsi="Times New Roman" w:cs="Times New Roman"/>
          <w:sz w:val="24"/>
          <w:szCs w:val="24"/>
        </w:rPr>
      </w:pPr>
    </w:p>
    <w:p w14:paraId="3F19C72F" w14:textId="49CAEBA5" w:rsidR="00F173BA" w:rsidRPr="00455E32" w:rsidRDefault="00F173BA" w:rsidP="00455E32">
      <w:pPr>
        <w:tabs>
          <w:tab w:val="left" w:pos="6948"/>
        </w:tabs>
        <w:jc w:val="both"/>
        <w:rPr>
          <w:rFonts w:ascii="Times New Roman" w:hAnsi="Times New Roman" w:cs="Times New Roman"/>
          <w:sz w:val="24"/>
          <w:szCs w:val="24"/>
        </w:rPr>
      </w:pPr>
      <w:r w:rsidRPr="00455E32">
        <w:rPr>
          <w:rFonts w:ascii="Times New Roman" w:hAnsi="Times New Roman" w:cs="Times New Roman"/>
          <w:sz w:val="24"/>
          <w:szCs w:val="24"/>
        </w:rPr>
        <w:tab/>
      </w:r>
    </w:p>
    <w:sectPr w:rsidR="00F173BA" w:rsidRPr="00455E3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0FFC" w14:textId="77777777" w:rsidR="008E7105" w:rsidRDefault="008E7105" w:rsidP="00702393">
      <w:pPr>
        <w:spacing w:after="0" w:line="240" w:lineRule="auto"/>
      </w:pPr>
      <w:r>
        <w:separator/>
      </w:r>
    </w:p>
  </w:endnote>
  <w:endnote w:type="continuationSeparator" w:id="0">
    <w:p w14:paraId="1435AA5D" w14:textId="77777777" w:rsidR="008E7105" w:rsidRDefault="008E710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E15BB" w14:textId="77777777" w:rsidR="008E7105" w:rsidRDefault="008E7105" w:rsidP="00702393">
      <w:pPr>
        <w:spacing w:after="0" w:line="240" w:lineRule="auto"/>
      </w:pPr>
      <w:r>
        <w:separator/>
      </w:r>
    </w:p>
  </w:footnote>
  <w:footnote w:type="continuationSeparator" w:id="0">
    <w:p w14:paraId="226B9905" w14:textId="77777777" w:rsidR="008E7105" w:rsidRDefault="008E710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55E32"/>
    <w:rsid w:val="00461793"/>
    <w:rsid w:val="005365BD"/>
    <w:rsid w:val="005639A5"/>
    <w:rsid w:val="005A3B78"/>
    <w:rsid w:val="006B0A4D"/>
    <w:rsid w:val="006E2D0A"/>
    <w:rsid w:val="00702393"/>
    <w:rsid w:val="00722D19"/>
    <w:rsid w:val="007813FA"/>
    <w:rsid w:val="008A7236"/>
    <w:rsid w:val="008E7105"/>
    <w:rsid w:val="008E7DF6"/>
    <w:rsid w:val="0091354D"/>
    <w:rsid w:val="00940023"/>
    <w:rsid w:val="0094655E"/>
    <w:rsid w:val="009E6904"/>
    <w:rsid w:val="00A23573"/>
    <w:rsid w:val="00A309A6"/>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55E32"/>
    <w:rPr>
      <w:color w:val="0563C1" w:themeColor="hyperlink"/>
      <w:u w:val="single"/>
    </w:rPr>
  </w:style>
  <w:style w:type="character" w:styleId="ab">
    <w:name w:val="Unresolved Mention"/>
    <w:basedOn w:val="a0"/>
    <w:uiPriority w:val="99"/>
    <w:semiHidden/>
    <w:unhideWhenUsed/>
    <w:rsid w:val="00455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661</Words>
  <Characters>3773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2021-12-06T13:24:00Z</dcterms:modified>
</cp:coreProperties>
</file>