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9F" w:rsidRPr="00112549" w:rsidRDefault="00AE2357" w:rsidP="00EB0A17">
      <w:pPr>
        <w:pStyle w:val="a3"/>
        <w:ind w:firstLine="426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6001-24-00-3ГП/556</w:t>
      </w:r>
    </w:p>
    <w:p w:rsidR="00F7469F" w:rsidRPr="00112549" w:rsidRDefault="00AE2357" w:rsidP="00EB0A1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ПОСТАНОВЛЕНИЕ</w:t>
      </w:r>
    </w:p>
    <w:p w:rsidR="00F7469F" w:rsidRPr="00112549" w:rsidRDefault="00AE2357" w:rsidP="00EB0A1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28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января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город Астана</w:t>
      </w:r>
    </w:p>
    <w:p w:rsidR="00F7469F" w:rsidRPr="00112549" w:rsidRDefault="00230BB6" w:rsidP="00EB0A1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7469F" w:rsidRPr="00112549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Судебная коллегия по гражданским делам Верховного Суда Республики Казахстан в составе:</w:t>
      </w:r>
    </w:p>
    <w:p w:rsidR="00F7469F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редседательствующего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судьи </w:t>
      </w:r>
      <w:r w:rsidR="006770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.,</w:t>
      </w:r>
    </w:p>
    <w:p w:rsidR="00F7469F" w:rsidRPr="00112549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судей </w:t>
      </w:r>
      <w:r w:rsidR="006770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Б.</w:t>
      </w:r>
      <w:bookmarkStart w:id="0" w:name="_GoBack"/>
      <w:bookmarkEnd w:id="0"/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.,</w:t>
      </w:r>
    </w:p>
    <w:p w:rsidR="00F7469F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рассмотрев с участием представител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 акционерного общества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«</w:t>
      </w:r>
      <w:r w:rsidR="005542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(далее – Общество, Заказчик) </w:t>
      </w:r>
      <w:r w:rsidR="0055426E">
        <w:rPr>
          <w:rFonts w:ascii="Times New Roman" w:hAnsi="Times New Roman" w:cs="Times New Roman"/>
          <w:sz w:val="28"/>
          <w:szCs w:val="28"/>
          <w:lang w:val="ru-RU"/>
        </w:rPr>
        <w:t>М.</w:t>
      </w:r>
    </w:p>
    <w:p w:rsidR="00F7469F" w:rsidRPr="0046317D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2549">
        <w:rPr>
          <w:rFonts w:ascii="Times New Roman" w:eastAsia="Meiryo" w:hAnsi="Times New Roman" w:cs="Times New Roman"/>
          <w:color w:val="000000" w:themeColor="text1"/>
          <w:sz w:val="28"/>
          <w:szCs w:val="28"/>
          <w:lang w:val="ru-RU"/>
        </w:rPr>
        <w:t>представител</w:t>
      </w:r>
      <w:r>
        <w:rPr>
          <w:rFonts w:ascii="Times New Roman" w:eastAsia="Meiryo" w:hAnsi="Times New Roman" w:cs="Times New Roman"/>
          <w:color w:val="000000" w:themeColor="text1"/>
          <w:sz w:val="28"/>
          <w:szCs w:val="28"/>
          <w:lang w:val="ru-RU"/>
        </w:rPr>
        <w:t>я товарищества с ограниченной ответственностью</w:t>
      </w:r>
      <w:r w:rsidRPr="00112549">
        <w:rPr>
          <w:rFonts w:ascii="Times New Roman" w:eastAsia="Meiryo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Meiryo" w:hAnsi="Times New Roman" w:cs="Times New Roman"/>
          <w:color w:val="000000" w:themeColor="text1"/>
          <w:sz w:val="28"/>
          <w:szCs w:val="28"/>
          <w:lang w:val="ru-RU"/>
        </w:rPr>
        <w:t xml:space="preserve">                 </w:t>
      </w:r>
      <w:r w:rsidRPr="00F7469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5426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7469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746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(далее – Товарищество, Подрядчик) </w:t>
      </w:r>
      <w:r w:rsidR="0055426E">
        <w:rPr>
          <w:rFonts w:ascii="Times New Roman" w:hAnsi="Times New Roman" w:cs="Times New Roman"/>
          <w:sz w:val="28"/>
          <w:szCs w:val="28"/>
          <w:lang w:val="kk-KZ"/>
        </w:rPr>
        <w:t>С.</w:t>
      </w:r>
    </w:p>
    <w:p w:rsidR="00F7469F" w:rsidRPr="00F7469F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sz w:val="28"/>
          <w:szCs w:val="28"/>
          <w:lang w:val="ru-RU"/>
        </w:rPr>
        <w:t xml:space="preserve">в открытом судебном заседании посредством мобильной видеоконференцсвязи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материалы </w:t>
      </w:r>
      <w:r w:rsidRPr="00112549">
        <w:rPr>
          <w:rFonts w:ascii="Times New Roman" w:hAnsi="Times New Roman" w:cs="Times New Roman"/>
          <w:sz w:val="28"/>
          <w:szCs w:val="28"/>
          <w:lang w:val="ru-RU"/>
        </w:rPr>
        <w:t xml:space="preserve">по иску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Общества к Товариществу </w:t>
      </w:r>
      <w:r w:rsidRPr="00F7469F">
        <w:rPr>
          <w:rFonts w:ascii="Times New Roman" w:hAnsi="Times New Roman" w:cs="Times New Roman"/>
          <w:sz w:val="28"/>
          <w:szCs w:val="28"/>
          <w:lang w:val="ru-RU"/>
        </w:rPr>
        <w:t>о признании недобросовестным участником закупок</w:t>
      </w:r>
      <w:r w:rsidRPr="00F7469F">
        <w:rPr>
          <w:rFonts w:ascii="Times New Roman" w:eastAsia="Gulim" w:hAnsi="Times New Roman" w:cs="Times New Roman"/>
          <w:sz w:val="28"/>
          <w:szCs w:val="28"/>
          <w:lang w:val="ru-RU"/>
        </w:rPr>
        <w:t>,</w:t>
      </w:r>
    </w:p>
    <w:p w:rsidR="00F7469F" w:rsidRPr="00F7469F" w:rsidRDefault="00AE2357" w:rsidP="00EB0A1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469F">
        <w:rPr>
          <w:rFonts w:ascii="Times New Roman" w:hAnsi="Times New Roman" w:cs="Times New Roman"/>
          <w:sz w:val="28"/>
          <w:szCs w:val="28"/>
          <w:lang w:val="kk-KZ"/>
        </w:rPr>
        <w:t xml:space="preserve">поступившее по </w:t>
      </w:r>
      <w:r w:rsidRPr="00F7469F">
        <w:rPr>
          <w:rFonts w:ascii="Times New Roman" w:hAnsi="Times New Roman" w:cs="Times New Roman"/>
          <w:sz w:val="28"/>
          <w:szCs w:val="28"/>
          <w:lang w:val="ru-RU"/>
        </w:rPr>
        <w:t>ходатайств</w:t>
      </w:r>
      <w:r w:rsidRPr="00F7469F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F7469F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бщества </w:t>
      </w:r>
      <w:r w:rsidRPr="00F7469F">
        <w:rPr>
          <w:rFonts w:ascii="Times New Roman" w:eastAsia="Arial" w:hAnsi="Times New Roman" w:cs="Times New Roman"/>
          <w:sz w:val="28"/>
          <w:szCs w:val="28"/>
          <w:lang w:val="ru-RU" w:bidi="en-US"/>
        </w:rPr>
        <w:t>о пересмотре определения специализированного межрайонного экономического суда Актюбинской области от 27 сентября 2024 года, определения судебной коллегии по гражданским делам Актюбинского областного суда от 31 октября 2024 года</w:t>
      </w:r>
      <w:r>
        <w:rPr>
          <w:rFonts w:ascii="Times New Roman" w:eastAsia="Arial" w:hAnsi="Times New Roman" w:cs="Times New Roman"/>
          <w:sz w:val="28"/>
          <w:szCs w:val="28"/>
          <w:lang w:val="ru-RU" w:bidi="en-US"/>
        </w:rPr>
        <w:t>,</w:t>
      </w:r>
    </w:p>
    <w:p w:rsidR="00F7469F" w:rsidRPr="00112549" w:rsidRDefault="00AE2357" w:rsidP="00EB0A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УСТАНОВИЛА:</w:t>
      </w:r>
    </w:p>
    <w:p w:rsidR="00F7469F" w:rsidRPr="00112549" w:rsidRDefault="00230BB6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7469F" w:rsidRPr="00EB0A17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Общество 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обратилось в суд с иском к </w:t>
      </w:r>
      <w:r>
        <w:rPr>
          <w:rFonts w:ascii="Times New Roman" w:eastAsia="Meiryo" w:hAnsi="Times New Roman" w:cs="Times New Roman"/>
          <w:color w:val="000000" w:themeColor="text1"/>
          <w:sz w:val="28"/>
          <w:szCs w:val="28"/>
          <w:lang w:val="ru-RU"/>
        </w:rPr>
        <w:t xml:space="preserve">Товариществу </w:t>
      </w:r>
      <w:r w:rsidRPr="00EB0A17">
        <w:rPr>
          <w:rFonts w:ascii="Times New Roman" w:eastAsia="Meiryo" w:hAnsi="Times New Roman" w:cs="Times New Roman"/>
          <w:sz w:val="28"/>
          <w:szCs w:val="28"/>
          <w:lang w:val="ru-RU"/>
        </w:rPr>
        <w:t xml:space="preserve">с 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>вышеназванным требованием.</w:t>
      </w:r>
    </w:p>
    <w:p w:rsidR="00CF5266" w:rsidRPr="00EB0A17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Определением специализированного межрайонного экономического суда Актюбинской области от 27 сентября 2024 год, оставленным без изменения определением судебной коллегии по гражданским делам Актюбинского областного суда от 31 октября 2024 года, </w:t>
      </w:r>
      <w:r>
        <w:rPr>
          <w:rFonts w:ascii="Times New Roman" w:hAnsi="Times New Roman" w:cs="Times New Roman"/>
          <w:sz w:val="28"/>
          <w:szCs w:val="28"/>
          <w:lang w:val="ru-RU"/>
        </w:rPr>
        <w:t>в принятии иска отказано.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469F" w:rsidRPr="00EB0A17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В ходатайстве </w:t>
      </w:r>
      <w:r>
        <w:rPr>
          <w:rFonts w:ascii="Times New Roman" w:hAnsi="Times New Roman" w:cs="Times New Roman"/>
          <w:sz w:val="28"/>
          <w:szCs w:val="28"/>
          <w:lang w:val="ru-RU"/>
        </w:rPr>
        <w:t>Общество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, указывая на допущенные местными судами существенные нарушения норм материального и процессуального права, просит отменить оспариваемые судебные акты и направить </w:t>
      </w:r>
      <w:r>
        <w:rPr>
          <w:rFonts w:ascii="Times New Roman" w:hAnsi="Times New Roman" w:cs="Times New Roman"/>
          <w:sz w:val="28"/>
          <w:szCs w:val="28"/>
          <w:lang w:val="ru-RU"/>
        </w:rPr>
        <w:t>материалы иска дл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>я рассмотрения по существу в суд первой инстанции.</w:t>
      </w:r>
    </w:p>
    <w:p w:rsidR="00F7469F" w:rsidRPr="00EB0A17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0A17">
        <w:rPr>
          <w:rFonts w:ascii="Times New Roman" w:hAnsi="Times New Roman" w:cs="Times New Roman"/>
          <w:sz w:val="28"/>
          <w:szCs w:val="28"/>
          <w:lang w:val="ru-RU"/>
        </w:rPr>
        <w:t>Заслушав пояснения представител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 истца, поддержавш</w:t>
      </w:r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 доводы ходатайства,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пояснения 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>представител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 ответчика,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согласного с доводами ходатайства,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исследовав материалы</w:t>
      </w:r>
      <w:r>
        <w:rPr>
          <w:rFonts w:ascii="Times New Roman" w:hAnsi="Times New Roman" w:cs="Times New Roman"/>
          <w:sz w:val="28"/>
          <w:szCs w:val="28"/>
          <w:lang w:val="ru-RU"/>
        </w:rPr>
        <w:t>, приложенные к иску,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 обсудив доводы ходатайства, судебная коллегия приходит к следующему.</w:t>
      </w:r>
    </w:p>
    <w:p w:rsidR="00F7469F" w:rsidRPr="00EB0A17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0A17">
        <w:rPr>
          <w:rFonts w:ascii="Times New Roman" w:hAnsi="Times New Roman" w:cs="Times New Roman"/>
          <w:sz w:val="28"/>
          <w:szCs w:val="28"/>
          <w:lang w:val="ru-RU"/>
        </w:rPr>
        <w:t>В соответствии с частью 5 статьи 438 Гражданского процессуального кодекса Республики Казахстан (далее - ГПК) основаниями к пересмотру в кассационном порядке вступивших в законную силу судебных актов являются существенные нарушения норм материального и процессуального права, которые привели к вынесению незаконного судебного акта.</w:t>
      </w:r>
    </w:p>
    <w:p w:rsidR="00F7469F" w:rsidRPr="00EB0A17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0A17">
        <w:rPr>
          <w:rFonts w:ascii="Times New Roman" w:hAnsi="Times New Roman" w:cs="Times New Roman"/>
          <w:sz w:val="28"/>
          <w:szCs w:val="28"/>
          <w:lang w:val="ru-RU"/>
        </w:rPr>
        <w:t>Такие нарушения местными судами допущены.</w:t>
      </w:r>
    </w:p>
    <w:p w:rsidR="00CF5266" w:rsidRPr="00EB0A17" w:rsidRDefault="00AE2357" w:rsidP="00680BF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Meiryo" w:hAnsi="Times New Roman" w:cs="Times New Roman"/>
          <w:sz w:val="28"/>
          <w:szCs w:val="28"/>
          <w:lang w:val="ru-RU" w:eastAsia="ru-RU"/>
        </w:rPr>
        <w:t>Из материалов иска следует</w:t>
      </w:r>
      <w:r w:rsidRPr="00EB0A17">
        <w:rPr>
          <w:rFonts w:ascii="Times New Roman" w:eastAsia="Meiryo" w:hAnsi="Times New Roman" w:cs="Times New Roman"/>
          <w:sz w:val="28"/>
          <w:szCs w:val="28"/>
          <w:lang w:val="ru-RU" w:eastAsia="ru-RU"/>
        </w:rPr>
        <w:t xml:space="preserve">, 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что между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314C9">
        <w:rPr>
          <w:rFonts w:ascii="Times New Roman" w:hAnsi="Times New Roman" w:cs="Times New Roman"/>
          <w:sz w:val="28"/>
          <w:szCs w:val="28"/>
          <w:lang w:val="ru-RU"/>
        </w:rPr>
        <w:t>бщество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и </w:t>
      </w:r>
      <w:r w:rsidRPr="00A314C9">
        <w:rPr>
          <w:rFonts w:ascii="Times New Roman" w:hAnsi="Times New Roman" w:cs="Times New Roman"/>
          <w:sz w:val="28"/>
          <w:szCs w:val="28"/>
          <w:lang w:val="ru-RU"/>
        </w:rPr>
        <w:t>Консорциум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A314C9">
        <w:rPr>
          <w:rFonts w:ascii="Times New Roman" w:hAnsi="Times New Roman" w:cs="Times New Roman"/>
          <w:sz w:val="28"/>
          <w:szCs w:val="28"/>
          <w:lang w:val="ru-RU"/>
        </w:rPr>
        <w:t xml:space="preserve"> в составе Товариществ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314C9">
        <w:rPr>
          <w:rFonts w:ascii="Times New Roman" w:hAnsi="Times New Roman" w:cs="Times New Roman"/>
          <w:sz w:val="28"/>
          <w:szCs w:val="28"/>
          <w:lang w:val="ru-RU"/>
        </w:rPr>
        <w:t xml:space="preserve"> совместно с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A314C9">
        <w:rPr>
          <w:rFonts w:ascii="Times New Roman" w:hAnsi="Times New Roman" w:cs="Times New Roman"/>
          <w:sz w:val="28"/>
          <w:szCs w:val="28"/>
          <w:lang w:val="ru-RU"/>
        </w:rPr>
        <w:t>оварищество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A314C9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14C9">
        <w:rPr>
          <w:rFonts w:ascii="Times New Roman" w:hAnsi="Times New Roman" w:cs="Times New Roman"/>
          <w:sz w:val="28"/>
          <w:szCs w:val="28"/>
          <w:lang w:val="ru-RU"/>
        </w:rPr>
        <w:t xml:space="preserve">ограниченной ответственностью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5426E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314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заключен договор о закупке работ от             16 апреля 2024 года №</w:t>
      </w:r>
      <w:r w:rsidRPr="00680BF0">
        <w:rPr>
          <w:rFonts w:ascii="Times New Roman" w:hAnsi="Times New Roman" w:cs="Times New Roman"/>
          <w:sz w:val="28"/>
          <w:szCs w:val="28"/>
          <w:lang w:val="ru-RU"/>
        </w:rPr>
        <w:t>974449/2024/1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(далее-Договор)</w:t>
      </w:r>
    </w:p>
    <w:p w:rsidR="00CF5266" w:rsidRPr="00EB0A17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0A17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По Договору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Подрядчик </w:t>
      </w:r>
      <w:r w:rsidRPr="00EB0A1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принял на себя обязательства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 р</w:t>
      </w:r>
      <w:r w:rsidRPr="00680BF0">
        <w:rPr>
          <w:rFonts w:ascii="Times New Roman" w:eastAsia="Calibri" w:hAnsi="Times New Roman" w:cs="Times New Roman"/>
          <w:sz w:val="28"/>
          <w:szCs w:val="28"/>
          <w:lang w:val="ru-RU"/>
        </w:rPr>
        <w:t>азработк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 проектно-сметной документации </w:t>
      </w:r>
      <w:r w:rsidRPr="00680BF0">
        <w:rPr>
          <w:rFonts w:ascii="Times New Roman" w:eastAsia="Calibri" w:hAnsi="Times New Roman" w:cs="Times New Roman"/>
          <w:sz w:val="28"/>
          <w:szCs w:val="28"/>
          <w:lang w:val="ru-RU"/>
        </w:rPr>
        <w:t>по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80BF0">
        <w:rPr>
          <w:rFonts w:ascii="Times New Roman" w:eastAsia="Calibri" w:hAnsi="Times New Roman" w:cs="Times New Roman"/>
          <w:sz w:val="28"/>
          <w:szCs w:val="28"/>
          <w:lang w:val="ru-RU"/>
        </w:rPr>
        <w:t>монтажу 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80BF0">
        <w:rPr>
          <w:rFonts w:ascii="Times New Roman" w:eastAsia="Calibri" w:hAnsi="Times New Roman" w:cs="Times New Roman"/>
          <w:sz w:val="28"/>
          <w:szCs w:val="28"/>
          <w:lang w:val="ru-RU"/>
        </w:rPr>
        <w:t>подключению дизельной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80BF0">
        <w:rPr>
          <w:rFonts w:ascii="Times New Roman" w:eastAsia="Calibri" w:hAnsi="Times New Roman" w:cs="Times New Roman"/>
          <w:sz w:val="28"/>
          <w:szCs w:val="28"/>
          <w:lang w:val="ru-RU"/>
        </w:rPr>
        <w:t>генераторной установки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80BF0">
        <w:rPr>
          <w:rFonts w:ascii="Times New Roman" w:eastAsia="Calibri" w:hAnsi="Times New Roman" w:cs="Times New Roman"/>
          <w:sz w:val="28"/>
          <w:szCs w:val="28"/>
          <w:lang w:val="ru-RU"/>
        </w:rPr>
        <w:t>в административном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80B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здании филиала 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>Управления магистральных газопроводов</w:t>
      </w:r>
      <w:r w:rsidRPr="00EB0A1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="0055426E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r w:rsidRPr="00EB0A17">
        <w:rPr>
          <w:rFonts w:ascii="Times New Roman" w:eastAsia="Calibri" w:hAnsi="Times New Roman" w:cs="Times New Roman"/>
          <w:sz w:val="28"/>
          <w:szCs w:val="28"/>
          <w:lang w:val="ru-RU"/>
        </w:rPr>
        <w:t>» на общую сумму 1 064 000 тенге с учетом налога на добавленную стоимость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Заказчик 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обязался принять и оплатить выполненные работы при условии надлежащего исполнения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Подрядчиком 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обязательств по Договору. </w:t>
      </w:r>
    </w:p>
    <w:p w:rsidR="00296915" w:rsidRPr="00EB0A17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Пунктом 3.1 Договора предусмотрено, что сроки, условия, объем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 место выполнения работ определяются Приложениями №№1,2 к настоящему Договору, согласно котор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Подрядчик 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обязался выполнить работы с даты подписания Договора по 31 августа 2024 года. Однако 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>ответчиком в установленный Договором срок</w:t>
      </w:r>
      <w:r w:rsidRPr="00EB0A17">
        <w:rPr>
          <w:rFonts w:ascii="Times New Roman" w:hAnsi="Times New Roman" w:cs="Times New Roman"/>
          <w:sz w:val="28"/>
          <w:szCs w:val="28"/>
          <w:lang w:val="ru-RU"/>
        </w:rPr>
        <w:t xml:space="preserve"> не выполнены.</w:t>
      </w:r>
    </w:p>
    <w:p w:rsidR="00296915" w:rsidRPr="00EB0A17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B0A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Истец, указывая, что нарушение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Подрядчиком </w:t>
      </w:r>
      <w:r w:rsidRPr="00EB0A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обязательств по Договору повлекло для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r w:rsidRPr="00EB0A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аказчика негативные последствия, обратился в суд о признании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Товарищества </w:t>
      </w:r>
      <w:r w:rsidRPr="00EB0A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недобросовестным участником закупок. </w:t>
      </w:r>
    </w:p>
    <w:p w:rsidR="00504672" w:rsidRPr="00504672" w:rsidRDefault="00AE2357" w:rsidP="0050467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gramStart"/>
      <w:r w:rsidRPr="00EB0A17">
        <w:rPr>
          <w:rFonts w:ascii="Times New Roman" w:hAnsi="Times New Roman" w:cs="Times New Roman"/>
          <w:bCs/>
          <w:sz w:val="28"/>
          <w:szCs w:val="28"/>
          <w:lang w:val="ru-RU"/>
        </w:rPr>
        <w:t>Суд первой инстанции, с выводами которого согласилась</w:t>
      </w:r>
      <w:r w:rsidRPr="0011254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апелляционная коллегия,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отказывая в принятии иска</w:t>
      </w:r>
      <w:r w:rsidRPr="00112549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исходил из того, что заявленный</w:t>
      </w:r>
      <w:r w:rsidRPr="0011254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иск не подлеж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 w:rsidRPr="0011254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 рассмотрению в порядке гражданского судопроизводства, поскольку 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приобретение 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товаров, работ и услуг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Обществом 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>регламентирован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Порядком осуществления закупок акционерным обществом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55426E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(далее-Фонд)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юридическими лицами, пятьдесят и более процентов голосующих акций (долей участия) которых прямо или косвенно принадлежат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Фонду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праве</w:t>
      </w:r>
      <w:proofErr w:type="gramEnd"/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собственности или доверительного управления, утвержденных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ешением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овета директоров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Фонда</w:t>
      </w:r>
      <w:r w:rsidRPr="003340A0">
        <w:rPr>
          <w:lang w:val="ru-RU"/>
        </w:rPr>
        <w:t xml:space="preserve"> </w:t>
      </w:r>
      <w:r w:rsidRPr="003340A0">
        <w:rPr>
          <w:rFonts w:ascii="Times New Roman" w:hAnsi="Times New Roman" w:cs="Times New Roman"/>
          <w:bCs/>
          <w:sz w:val="28"/>
          <w:szCs w:val="28"/>
          <w:lang w:val="ru-RU"/>
        </w:rPr>
        <w:t>от 3 марта 2022 года № 193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(далее –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>орядок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),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котором фактически не предусмотрен судебный порядок признания поставщиков </w:t>
      </w:r>
      <w:proofErr w:type="gramStart"/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>ненадежными</w:t>
      </w:r>
      <w:proofErr w:type="gramEnd"/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504672" w:rsidRDefault="00AE2357" w:rsidP="0050467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>Кроме того согласн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пункт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у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7.6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Д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>оговора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случае нарушения поставщиком своих обязательств по договору, заказчик направляет в установленном порядке информацию в уполномоченный орган по вопросам закупок для внесения сведений о поставщике в перечень ненадежных потенциальных поставщиков (поставщиков)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Фонда</w:t>
      </w:r>
      <w:r w:rsidRPr="0050467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F7469F" w:rsidRPr="00112549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Вместе с тем с такими выводами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местных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судов нельзя согласиться, так как они основаны на неправильном применении и толковании норм материального и процессуального права.</w:t>
      </w:r>
    </w:p>
    <w:p w:rsidR="00F7469F" w:rsidRPr="00112549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Отказ в принятии иска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является одной из форм окончания судебного процесса без вынесения решения в связи с наличием обстоятельств, препятствующих рассмотрению правового спора по существу.</w:t>
      </w:r>
    </w:p>
    <w:p w:rsidR="00F7469F" w:rsidRPr="00112549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свою очередь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основания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отказа в принятии иска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определены в подпунктах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части 1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статьи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151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ГПК. Этот перечень является исчерпывающим и расширительному толкованию не подлежит. </w:t>
      </w:r>
    </w:p>
    <w:p w:rsidR="00F7469F" w:rsidRPr="00112549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Из содержания оспариваемых судебных актов следует, что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отказ в принятии иска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обоснова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невозможностью рассмотрения дела в порядке гражданского судопроизводства.</w:t>
      </w:r>
    </w:p>
    <w:p w:rsidR="00F7469F" w:rsidRPr="00112549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Такое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основани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е, исходя из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материалов иска,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отсутствует. </w:t>
      </w:r>
    </w:p>
    <w:p w:rsidR="00F7469F" w:rsidRPr="00112549" w:rsidRDefault="00AE2357" w:rsidP="00806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Согласно подпункту 1)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части 1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статьи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151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ГПК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Pr="0080650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удья отказывает в принятии иска, если заявление не подлежит рассмотрению и разрешению в порядке гражданского судопроизводства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7469F" w:rsidRPr="00112549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Применение данной нормы процессуального закона возможно только в том случае, если у истца отсутствует право на обращение в суд, а защита нарушенных прав лица, обратившегося в суд, осуществляется в ином, отличном от гражданского судопроизводства, порядке.</w:t>
      </w:r>
    </w:p>
    <w:p w:rsidR="00F7469F" w:rsidRPr="00112549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Между тем избранный истцом способ защиты гражданских прав прямо предусмотрен законом и может быть реализован им исключительно путем предъявления иска в рамках гражданского судопроизводства.</w:t>
      </w:r>
    </w:p>
    <w:p w:rsidR="00F7469F" w:rsidRPr="00CF6DF0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Такой вывод коллегии согласуется с соответствующими нормами </w:t>
      </w:r>
      <w:r w:rsidRPr="00CF6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материального и процессуального права. </w:t>
      </w:r>
    </w:p>
    <w:p w:rsidR="00F7469F" w:rsidRPr="00CF6DF0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F6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Частями 2 статей 48, 225 ГПК определено, что суд разрешает дело в пределах заявленных истцом требований и не вправе по своей инициативе изменять предмет или основание иска.</w:t>
      </w:r>
    </w:p>
    <w:p w:rsidR="00F7469F" w:rsidRPr="00CF6DF0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F6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 основанием иска согласно разъяснениям, данным в пункте                 16 нормативного постановления Верховного Суда Республики Казахстан от 11 июля 2003 года № 5 «О судебном решении по гражданским делам», следует понимать указываемые заинтересованным лицом факты, влекущие за собой возникновение, изменение или прекращение материального правоотношения, являющегося предметом иска.</w:t>
      </w:r>
    </w:p>
    <w:p w:rsidR="00F7469F" w:rsidRPr="00CF6DF0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F6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 вынесении решения, в силу части 1 статьи 225 ГПК, суд обязан установить, каковы правоотношения сторон, какой закон должен быть применен по данному делу и подлежит ли заявленное требование удовлетворению.</w:t>
      </w:r>
    </w:p>
    <w:p w:rsidR="00F7469F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F6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Защита гражданских прав может быть реализована способами, установленными как в пункте 1 статьи 9 Гражданского кодекса Республики Казахстан, так и иными способами, предусмотренными законодательными актами Республики Казахстан.</w:t>
      </w:r>
    </w:p>
    <w:p w:rsidR="00307B69" w:rsidRPr="00CF6DF0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07B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Предъявленный иск Общества основан на неисполнении Товариществом принятых обязательств по Договору.</w:t>
      </w:r>
    </w:p>
    <w:p w:rsidR="003B165C" w:rsidRPr="00CF6DF0" w:rsidRDefault="00AE2357" w:rsidP="00EB0A17">
      <w:pPr>
        <w:spacing w:after="0" w:line="240" w:lineRule="auto"/>
        <w:ind w:firstLine="709"/>
        <w:jc w:val="both"/>
        <w:rPr>
          <w:rStyle w:val="81"/>
          <w:rFonts w:eastAsiaTheme="minorHAnsi"/>
          <w:i w:val="0"/>
          <w:color w:val="000000" w:themeColor="text1"/>
          <w:sz w:val="28"/>
          <w:szCs w:val="28"/>
          <w:lang w:val="ru-RU"/>
        </w:rPr>
      </w:pPr>
      <w:r w:rsidRPr="00CF6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Пунктом </w:t>
      </w:r>
      <w:r w:rsidRPr="00CF6DF0">
        <w:rPr>
          <w:rStyle w:val="81"/>
          <w:rFonts w:eastAsiaTheme="minorHAnsi"/>
          <w:i w:val="0"/>
          <w:color w:val="000000" w:themeColor="text1"/>
          <w:sz w:val="28"/>
          <w:szCs w:val="28"/>
          <w:lang w:val="ru-RU"/>
        </w:rPr>
        <w:t>1 статьи 1 Закона Р</w:t>
      </w:r>
      <w:r w:rsidRPr="00CF6DF0">
        <w:rPr>
          <w:rStyle w:val="81"/>
          <w:rFonts w:eastAsiaTheme="minorHAnsi"/>
          <w:i w:val="0"/>
          <w:color w:val="000000" w:themeColor="text1"/>
          <w:sz w:val="28"/>
          <w:szCs w:val="28"/>
          <w:lang w:val="kk-KZ"/>
        </w:rPr>
        <w:t xml:space="preserve">еспублики </w:t>
      </w:r>
      <w:r w:rsidRPr="00CF6DF0">
        <w:rPr>
          <w:rStyle w:val="81"/>
          <w:rFonts w:eastAsiaTheme="minorHAnsi"/>
          <w:i w:val="0"/>
          <w:color w:val="000000" w:themeColor="text1"/>
          <w:sz w:val="28"/>
          <w:szCs w:val="28"/>
          <w:lang w:val="ru-RU"/>
        </w:rPr>
        <w:t>Казахстан «О закупках отдельных субъектов квазигосударственного сектора» (далее - Закон)</w:t>
      </w:r>
      <w:r w:rsidRPr="00CF6DF0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определено, что н</w:t>
      </w:r>
      <w:r w:rsidRPr="00CF6DF0">
        <w:rPr>
          <w:rStyle w:val="81"/>
          <w:rFonts w:eastAsiaTheme="minorHAnsi"/>
          <w:i w:val="0"/>
          <w:color w:val="000000" w:themeColor="text1"/>
          <w:sz w:val="28"/>
          <w:szCs w:val="28"/>
          <w:lang w:val="ru-RU"/>
        </w:rPr>
        <w:t xml:space="preserve">астоящий Закон регулирует отношения, связанные с приобретением товаров, работ, услуг, необходимых для обеспечения функционирования, а также выполнения уставной деятельности национальных управляющих холдингов, национальных холдингов, национальных компаний и организаций, пятьдесят и </w:t>
      </w:r>
      <w:r w:rsidRPr="00CF6DF0">
        <w:rPr>
          <w:rStyle w:val="81"/>
          <w:rFonts w:eastAsiaTheme="minorHAnsi"/>
          <w:i w:val="0"/>
          <w:color w:val="000000" w:themeColor="text1"/>
          <w:sz w:val="28"/>
          <w:szCs w:val="28"/>
          <w:lang w:val="ru-RU"/>
        </w:rPr>
        <w:lastRenderedPageBreak/>
        <w:t xml:space="preserve">более процентов голосующих акций (долей участия в уставном капитале) которых прямо или косвенно принадлежат национальным управляющим холдингам, национальным холдингам, национальным компаниям, а также социально-предпринимательских корпораций, за исключением юридических лиц,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национальным компаниям, переданных в доверительное управление физическим лицам или негосударственным юридическим лицам с правом последующего выкупа </w:t>
      </w:r>
      <w:r>
        <w:rPr>
          <w:rStyle w:val="81"/>
          <w:rFonts w:eastAsiaTheme="minorHAnsi"/>
          <w:i w:val="0"/>
          <w:color w:val="000000" w:themeColor="text1"/>
          <w:sz w:val="28"/>
          <w:szCs w:val="28"/>
          <w:lang w:val="ru-RU"/>
        </w:rPr>
        <w:t xml:space="preserve">          </w:t>
      </w:r>
      <w:r w:rsidRPr="00CF6DF0">
        <w:rPr>
          <w:rStyle w:val="81"/>
          <w:rFonts w:eastAsiaTheme="minorHAnsi"/>
          <w:i w:val="0"/>
          <w:color w:val="000000" w:themeColor="text1"/>
          <w:sz w:val="28"/>
          <w:szCs w:val="28"/>
          <w:lang w:val="ru-RU"/>
        </w:rPr>
        <w:t>(далее – отдельные субъекты квазигосударственного сектора).</w:t>
      </w:r>
    </w:p>
    <w:p w:rsidR="0082484D" w:rsidRPr="00CF6DF0" w:rsidRDefault="00AE2357" w:rsidP="00EB0A17">
      <w:pPr>
        <w:spacing w:after="0" w:line="240" w:lineRule="auto"/>
        <w:ind w:firstLine="709"/>
        <w:jc w:val="both"/>
        <w:rPr>
          <w:rStyle w:val="a9"/>
          <w:rFonts w:eastAsia="Calibri"/>
          <w:color w:val="000000" w:themeColor="text1"/>
          <w:sz w:val="28"/>
          <w:szCs w:val="28"/>
          <w:lang w:val="ru-RU"/>
        </w:rPr>
      </w:pPr>
      <w:r w:rsidRPr="00CF6DF0">
        <w:rPr>
          <w:rStyle w:val="a9"/>
          <w:rFonts w:eastAsia="Calibri"/>
          <w:color w:val="000000" w:themeColor="text1"/>
          <w:sz w:val="28"/>
          <w:szCs w:val="28"/>
          <w:lang w:val="ru-RU"/>
        </w:rPr>
        <w:t>Общество входит в состав акционерного общества «</w:t>
      </w:r>
      <w:r w:rsidR="0055426E">
        <w:rPr>
          <w:rStyle w:val="a9"/>
          <w:rFonts w:eastAsia="Calibri"/>
          <w:color w:val="000000" w:themeColor="text1"/>
          <w:sz w:val="28"/>
          <w:szCs w:val="28"/>
          <w:lang w:val="ru-RU"/>
        </w:rPr>
        <w:t>З</w:t>
      </w:r>
      <w:r w:rsidRPr="00CF6DF0">
        <w:rPr>
          <w:rStyle w:val="a9"/>
          <w:rFonts w:eastAsia="Calibri"/>
          <w:color w:val="000000" w:themeColor="text1"/>
          <w:sz w:val="28"/>
          <w:szCs w:val="28"/>
          <w:lang w:val="ru-RU"/>
        </w:rPr>
        <w:t>», которому принадлежат 100% процентов акций.</w:t>
      </w:r>
    </w:p>
    <w:p w:rsidR="003B165C" w:rsidRPr="00CF6DF0" w:rsidRDefault="00AE2357" w:rsidP="00EB0A17">
      <w:pPr>
        <w:spacing w:after="0" w:line="240" w:lineRule="auto"/>
        <w:ind w:firstLine="709"/>
        <w:jc w:val="both"/>
        <w:rPr>
          <w:rStyle w:val="a9"/>
          <w:rFonts w:eastAsia="Calibri"/>
          <w:color w:val="000000" w:themeColor="text1"/>
          <w:sz w:val="28"/>
          <w:szCs w:val="28"/>
          <w:lang w:val="ru-RU"/>
        </w:rPr>
      </w:pPr>
      <w:r w:rsidRPr="00CF6DF0">
        <w:rPr>
          <w:rStyle w:val="a9"/>
          <w:rFonts w:eastAsia="Calibri"/>
          <w:color w:val="000000" w:themeColor="text1"/>
          <w:sz w:val="28"/>
          <w:szCs w:val="28"/>
          <w:lang w:val="ru-RU"/>
        </w:rPr>
        <w:t xml:space="preserve">Согласно </w:t>
      </w:r>
      <w:r>
        <w:rPr>
          <w:rStyle w:val="a9"/>
          <w:rFonts w:eastAsia="Calibri"/>
          <w:color w:val="000000" w:themeColor="text1"/>
          <w:sz w:val="28"/>
          <w:szCs w:val="28"/>
          <w:lang w:val="ru-RU"/>
        </w:rPr>
        <w:t>п</w:t>
      </w:r>
      <w:r w:rsidRPr="00CF6DF0">
        <w:rPr>
          <w:rStyle w:val="a9"/>
          <w:rFonts w:eastAsia="Calibri"/>
          <w:color w:val="000000" w:themeColor="text1"/>
          <w:sz w:val="28"/>
          <w:szCs w:val="28"/>
          <w:lang w:val="ru-RU"/>
        </w:rPr>
        <w:t>остановлению Правительства Республики Казахстан от            6 апреля 2011 года №376 «Об утверждении перечня национальных управляющих холдингов, национальных холдингов, национальных компаний», акционерное общество «</w:t>
      </w:r>
      <w:r w:rsidR="0055426E">
        <w:rPr>
          <w:rStyle w:val="a9"/>
          <w:rFonts w:eastAsia="Calibri"/>
          <w:color w:val="000000" w:themeColor="text1"/>
          <w:sz w:val="28"/>
          <w:szCs w:val="28"/>
          <w:lang w:val="ru-RU"/>
        </w:rPr>
        <w:t>З</w:t>
      </w:r>
      <w:r w:rsidRPr="00CF6DF0">
        <w:rPr>
          <w:rStyle w:val="a9"/>
          <w:rFonts w:eastAsia="Calibri"/>
          <w:color w:val="000000" w:themeColor="text1"/>
          <w:sz w:val="28"/>
          <w:szCs w:val="28"/>
          <w:lang w:val="ru-RU"/>
        </w:rPr>
        <w:t xml:space="preserve">» включено в перечень национальных компаний. </w:t>
      </w:r>
    </w:p>
    <w:p w:rsidR="00392660" w:rsidRPr="00CF6DF0" w:rsidRDefault="00AE2357" w:rsidP="00EB0A17">
      <w:pPr>
        <w:spacing w:after="0" w:line="240" w:lineRule="auto"/>
        <w:ind w:firstLine="709"/>
        <w:jc w:val="both"/>
        <w:rPr>
          <w:rStyle w:val="a9"/>
          <w:rFonts w:eastAsia="Calibri"/>
          <w:color w:val="000000" w:themeColor="text1"/>
          <w:sz w:val="28"/>
          <w:szCs w:val="28"/>
          <w:lang w:val="ru-RU"/>
        </w:rPr>
      </w:pPr>
      <w:r w:rsidRPr="00CF6DF0">
        <w:rPr>
          <w:rStyle w:val="a9"/>
          <w:rFonts w:eastAsia="Calibri"/>
          <w:color w:val="000000" w:themeColor="text1"/>
          <w:sz w:val="28"/>
          <w:szCs w:val="28"/>
          <w:lang w:val="ru-RU"/>
        </w:rPr>
        <w:t xml:space="preserve">Таким образом, положения Закона, связанные с приобретением Обществом товаров, работ, услуг, необходимых для обеспечения его функционирования, а также выполнения </w:t>
      </w:r>
      <w:r>
        <w:rPr>
          <w:rStyle w:val="a9"/>
          <w:rFonts w:eastAsia="Calibri"/>
          <w:color w:val="000000" w:themeColor="text1"/>
          <w:sz w:val="28"/>
          <w:szCs w:val="28"/>
          <w:lang w:val="ru-RU"/>
        </w:rPr>
        <w:t xml:space="preserve">им </w:t>
      </w:r>
      <w:r w:rsidRPr="00CF6DF0">
        <w:rPr>
          <w:rStyle w:val="a9"/>
          <w:rFonts w:eastAsia="Calibri"/>
          <w:color w:val="000000" w:themeColor="text1"/>
          <w:sz w:val="28"/>
          <w:szCs w:val="28"/>
          <w:lang w:val="ru-RU"/>
        </w:rPr>
        <w:t>уставной деятельности</w:t>
      </w:r>
      <w:r>
        <w:rPr>
          <w:rStyle w:val="a9"/>
          <w:rFonts w:eastAsia="Calibri"/>
          <w:color w:val="000000" w:themeColor="text1"/>
          <w:sz w:val="28"/>
          <w:szCs w:val="28"/>
          <w:lang w:val="ru-RU"/>
        </w:rPr>
        <w:t>,</w:t>
      </w:r>
      <w:r w:rsidRPr="00CF6DF0">
        <w:rPr>
          <w:rStyle w:val="a9"/>
          <w:rFonts w:eastAsia="Calibri"/>
          <w:color w:val="000000" w:themeColor="text1"/>
          <w:sz w:val="28"/>
          <w:szCs w:val="28"/>
          <w:lang w:val="ru-RU"/>
        </w:rPr>
        <w:t xml:space="preserve"> являются обязательными для Заказчика.</w:t>
      </w:r>
    </w:p>
    <w:p w:rsidR="00CF6DF0" w:rsidRDefault="00AE2357" w:rsidP="00CF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Пунктом 1, подпунктом 3) пункта 2, пунктом 4 статьи </w:t>
      </w:r>
      <w:r w:rsidRPr="00CF6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Закона установлено, что р</w:t>
      </w:r>
      <w:r w:rsidRPr="00CF6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еестр недобросовестных участников закупок формируется в информационной системе электронных закупок.</w:t>
      </w:r>
    </w:p>
    <w:p w:rsidR="00CF6DF0" w:rsidRPr="00CF6DF0" w:rsidRDefault="00AE2357" w:rsidP="00CF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F6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 недобросовестных участников закупок представляет собой 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CF6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поставщиков, не исполнивших либо ненадлежащим образом исполнивших свои обязательства по заключенным с ними договорам.</w:t>
      </w:r>
    </w:p>
    <w:p w:rsidR="00CF6DF0" w:rsidRDefault="00AE2357" w:rsidP="00CF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F6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случае, указанном в подпункте 3) части первой настоящего пункта, заказчик обязан не позднее тридцати календарных дней со дня, когда ему стало известно о факте нарушения поставщиком договора, обратиться с иском в суд о признании такого поставщика недобросовестным участником закупок, за исключением случаев выплаты поставщиком неустойки (штрафа, пени) и полного исполнения им договорных обязательств.</w:t>
      </w:r>
    </w:p>
    <w:p w:rsidR="00CF6DF0" w:rsidRDefault="00AE2357" w:rsidP="00CF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F6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 недобросовестных участников закупок формируется на основании решения суда, вступившего в законную силу, в случаях, предусмотренных подпунктами 2) и 3) части первой пункта 2 настоящей статьи.</w:t>
      </w:r>
    </w:p>
    <w:p w:rsidR="003340A0" w:rsidRDefault="00AE2357" w:rsidP="00CF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Предусмотрен судебный порядок признания ненадежных потенциальных поставщиков также соответствующими положениями Порядка.</w:t>
      </w:r>
    </w:p>
    <w:p w:rsidR="003340A0" w:rsidRPr="003340A0" w:rsidRDefault="00AE2357" w:rsidP="00334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Пунктом </w:t>
      </w:r>
      <w:r w:rsidRPr="003340A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Порядка предусмотрено, что п</w:t>
      </w:r>
      <w:r w:rsidRPr="003340A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еречень ненадежных потенциальных поставщиков (поставщиков) Фонда формируется и ведется Оператором Фонда по закупкам на веб-портале закупок по мере поступления информации от Заказчика(ов) и из веб-портала закупок.</w:t>
      </w:r>
    </w:p>
    <w:p w:rsidR="003340A0" w:rsidRPr="003340A0" w:rsidRDefault="00AE2357" w:rsidP="00334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Подпунктом 4) пункта </w:t>
      </w:r>
      <w:r w:rsidRPr="003340A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Порядка установлено, что п</w:t>
      </w:r>
      <w:r w:rsidRPr="003340A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отенциальный поставщик (поставщик) подлежит включению в Перечень ненадежных потенциальных поставщиков (поставщиков) Фонда по следующим основаниям:</w:t>
      </w:r>
    </w:p>
    <w:p w:rsidR="003340A0" w:rsidRDefault="00AE2357" w:rsidP="00334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3340A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наличие вступившего в законную силу решения (постановления) суда, установившего факт неисполнения или ненадлежащего исполнения договора о закупках.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</w:p>
    <w:p w:rsidR="00DF5E95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основаны на нормах права выводы местных судов о том, что условиями 7.6 Договора предоставление информации в уполномоченный орган для внесения поставщика в перечень ненадежных поставщиков Фонда свидетельствует о том, что Порядок не содержит требований для истца для обращения в суд с иском.</w:t>
      </w:r>
    </w:p>
    <w:p w:rsidR="00DF5E95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Наряду с направлением соответствующей информации в уполномоченный орган о ненадежном поставщике Заказчик обязан предоставить оператору Фонда копию </w:t>
      </w:r>
      <w:r w:rsidRPr="00DF5E95">
        <w:rPr>
          <w:rFonts w:ascii="Times New Roman" w:hAnsi="Times New Roman" w:cs="Times New Roman"/>
          <w:sz w:val="28"/>
          <w:szCs w:val="28"/>
          <w:lang w:val="ru-RU"/>
        </w:rPr>
        <w:t>вступивше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DF5E95">
        <w:rPr>
          <w:rFonts w:ascii="Times New Roman" w:hAnsi="Times New Roman" w:cs="Times New Roman"/>
          <w:sz w:val="28"/>
          <w:szCs w:val="28"/>
          <w:lang w:val="ru-RU"/>
        </w:rPr>
        <w:t xml:space="preserve"> в законную силу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решения суда</w:t>
      </w:r>
      <w:r w:rsidRPr="00DF5E95">
        <w:rPr>
          <w:rFonts w:ascii="Times New Roman" w:hAnsi="Times New Roman" w:cs="Times New Roman"/>
          <w:sz w:val="28"/>
          <w:szCs w:val="28"/>
          <w:lang w:val="ru-RU"/>
        </w:rPr>
        <w:t>, установивше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DF5E95">
        <w:rPr>
          <w:rFonts w:ascii="Times New Roman" w:hAnsi="Times New Roman" w:cs="Times New Roman"/>
          <w:sz w:val="28"/>
          <w:szCs w:val="28"/>
          <w:lang w:val="ru-RU"/>
        </w:rPr>
        <w:t xml:space="preserve"> факт неисполнения или ненадлежащего исполнения поставщиком договора о закупках.</w:t>
      </w:r>
    </w:p>
    <w:p w:rsidR="00DB50EC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Такие требования содержатся в</w:t>
      </w:r>
      <w:r w:rsidRPr="00DB50EC">
        <w:rPr>
          <w:rFonts w:ascii="Times New Roman" w:hAnsi="Times New Roman" w:cs="Times New Roman"/>
          <w:sz w:val="28"/>
          <w:szCs w:val="28"/>
          <w:lang w:val="ru-RU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B50EC">
        <w:rPr>
          <w:rFonts w:ascii="Times New Roman" w:hAnsi="Times New Roman" w:cs="Times New Roman"/>
          <w:sz w:val="28"/>
          <w:szCs w:val="28"/>
          <w:lang w:val="ru-RU"/>
        </w:rPr>
        <w:t xml:space="preserve"> 3, подпункт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B50EC">
        <w:rPr>
          <w:rFonts w:ascii="Times New Roman" w:hAnsi="Times New Roman" w:cs="Times New Roman"/>
          <w:sz w:val="28"/>
          <w:szCs w:val="28"/>
          <w:lang w:val="ru-RU"/>
        </w:rPr>
        <w:t xml:space="preserve"> 4) пункта 5 Порядка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1BF7" w:rsidRPr="00392660" w:rsidRDefault="00AE2357" w:rsidP="00011B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1B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этой связи выводы местных судов о том, что Законом и Порядком не предусмотрен судебный порядок признания недобросовестным участником закупок, являются несостоятельными.</w:t>
      </w:r>
    </w:p>
    <w:p w:rsidR="00F7469F" w:rsidRPr="00112549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Обжалуемыми судебными актами создано препятствие для правового разрешения ситуации.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нарушение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конституционно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обращение в суд за защитой нарушенных или оспариваемых прав, свобод или законных интересов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местные суды незаконно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отказали в принятии иска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ограничив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Обществу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доступ к правосудию.</w:t>
      </w:r>
    </w:p>
    <w:p w:rsidR="00F7469F" w:rsidRPr="00112549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 таких обстоятельствах коллегия приходит к выводу об обоснованности доводов ходатайства.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Допущенные нарушения являются существенными, поскольку привели к вынесению судами незаконных судебных актов, что влечет их отмену с направлением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иска с приложенными к нему материалами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новое рассмотрение по существу в суд первой инстанции. </w:t>
      </w:r>
    </w:p>
    <w:p w:rsidR="00F7469F" w:rsidRPr="00112549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 новом рассмотрении суду необходимо в совокупности и всесторонне исследовать и оценить имеющиеся в материалах дела и представленные сторонами доказательства, дать им соответствующую правовую оценку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пределить обстоятельства, имеющие значение для правильного разрешения дела, применить закон, подлежащий применению к спорным правоотношениям, и по итогам вынести законное и обоснованное решение, соответствующее требованиям гражданского процессуального закона.</w:t>
      </w:r>
    </w:p>
    <w:p w:rsidR="00F7469F" w:rsidRPr="00112549" w:rsidRDefault="00AE2357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Руководствуясь подпунктом 5) части 2 статьи 451 ГПК, судебная коллегия </w:t>
      </w:r>
    </w:p>
    <w:p w:rsidR="00F7469F" w:rsidRPr="00112549" w:rsidRDefault="00AE2357" w:rsidP="00EB0A1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ПОСТАНОВИЛА:</w:t>
      </w:r>
    </w:p>
    <w:p w:rsidR="00F7469F" w:rsidRPr="00112549" w:rsidRDefault="00230BB6" w:rsidP="00EB0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7469F" w:rsidRPr="00112549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Определение </w:t>
      </w:r>
      <w:r w:rsidRPr="00112549">
        <w:rPr>
          <w:rFonts w:ascii="Times New Roman" w:hAnsi="Times New Roman" w:cs="Times New Roman"/>
          <w:sz w:val="28"/>
          <w:szCs w:val="28"/>
          <w:lang w:val="ru-RU"/>
        </w:rPr>
        <w:t xml:space="preserve">специализированного межрайонного экономического суда </w:t>
      </w:r>
      <w:r w:rsidRPr="00F7469F">
        <w:rPr>
          <w:rFonts w:ascii="Times New Roman" w:hAnsi="Times New Roman" w:cs="Times New Roman"/>
          <w:sz w:val="28"/>
          <w:szCs w:val="28"/>
          <w:lang w:val="ru-RU"/>
        </w:rPr>
        <w:t>определения специализированного межрайонного экономического суда Актюбинской области от 27 сентября 2024 года, определени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7469F">
        <w:rPr>
          <w:rFonts w:ascii="Times New Roman" w:hAnsi="Times New Roman" w:cs="Times New Roman"/>
          <w:sz w:val="28"/>
          <w:szCs w:val="28"/>
          <w:lang w:val="ru-RU"/>
        </w:rPr>
        <w:t xml:space="preserve"> судебной коллегии по гражданским делам Актюбинского областного суда от 31 октября 2024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549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данному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иску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отменить.</w:t>
      </w:r>
    </w:p>
    <w:p w:rsidR="00F7469F" w:rsidRPr="00112549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Иск с приложенными к нему материалами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направить на новое рассмотрение в специализированный межрайонный экономический суд </w:t>
      </w:r>
      <w:r w:rsidRPr="00F7469F">
        <w:rPr>
          <w:rFonts w:ascii="Times New Roman" w:hAnsi="Times New Roman" w:cs="Times New Roman"/>
          <w:sz w:val="28"/>
          <w:szCs w:val="28"/>
          <w:lang w:val="ru-RU"/>
        </w:rPr>
        <w:t>Актюбинской области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7469F" w:rsidRPr="00112549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Ходатайство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акционерного общества «</w:t>
      </w:r>
      <w:r w:rsidR="005542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112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удовлетворить.</w:t>
      </w:r>
    </w:p>
    <w:p w:rsidR="00F7469F" w:rsidRPr="00112549" w:rsidRDefault="00230BB6" w:rsidP="00EB0A1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7469F" w:rsidRPr="00112549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Председательствующий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Ералиева</w:t>
      </w:r>
    </w:p>
    <w:p w:rsidR="00F7469F" w:rsidRPr="00112549" w:rsidRDefault="00AE2357" w:rsidP="00EB0A1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Судьи</w:t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М. Боровик</w:t>
      </w:r>
    </w:p>
    <w:p w:rsidR="0050335B" w:rsidRPr="003445CD" w:rsidRDefault="00AE2357" w:rsidP="00975F43">
      <w:pPr>
        <w:pStyle w:val="a3"/>
        <w:ind w:left="7079" w:firstLine="709"/>
        <w:jc w:val="right"/>
        <w:rPr>
          <w:lang w:val="ru-RU"/>
        </w:rPr>
      </w:pPr>
      <w:r w:rsidRPr="00112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Г. Мырзаке</w:t>
      </w:r>
      <w:r w:rsidRPr="003445CD">
        <w:rPr>
          <w:noProof/>
          <w:lang w:val="ru-RU" w:eastAsia="ru-RU" w:bidi="ar-SA"/>
        </w:rPr>
        <w:drawing>
          <wp:inline distT="0" distB="0" distL="0" distR="0">
            <wp:extent cx="762000" cy="762000"/>
            <wp:effectExtent l="0" t="0" r="0" b="0"/>
            <wp:docPr id="100003" name="Рисунок 100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5CD">
        <w:rPr>
          <w:noProof/>
          <w:lang w:val="ru-RU" w:eastAsia="ru-RU" w:bidi="ar-SA"/>
        </w:rPr>
        <w:drawing>
          <wp:inline distT="0" distB="0" distL="0" distR="0">
            <wp:extent cx="762000" cy="762000"/>
            <wp:effectExtent l="0" t="0" r="0" b="0"/>
            <wp:docPr id="100004" name="Рисунок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5CD">
        <w:rPr>
          <w:noProof/>
          <w:lang w:val="ru-RU" w:eastAsia="ru-RU" w:bidi="ar-SA"/>
        </w:rPr>
        <w:drawing>
          <wp:inline distT="0" distB="0" distL="0" distR="0">
            <wp:extent cx="762000" cy="762000"/>
            <wp:effectExtent l="0" t="0" r="0" b="0"/>
            <wp:docPr id="100009" name="Рисунок 100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5CD">
        <w:rPr>
          <w:noProof/>
          <w:lang w:val="ru-RU" w:eastAsia="ru-RU" w:bidi="ar-SA"/>
        </w:rPr>
        <w:drawing>
          <wp:inline distT="0" distB="0" distL="0" distR="0">
            <wp:extent cx="762000" cy="762000"/>
            <wp:effectExtent l="0" t="0" r="0" b="0"/>
            <wp:docPr id="100013" name="Рисунок 100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35B" w:rsidRPr="003445CD" w:rsidSect="00975F43">
      <w:headerReference w:type="default" r:id="rId12"/>
      <w:pgSz w:w="11906" w:h="16838"/>
      <w:pgMar w:top="993" w:right="850" w:bottom="993" w:left="1418" w:header="708" w:footer="8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B6" w:rsidRDefault="00230BB6">
      <w:pPr>
        <w:spacing w:after="0" w:line="240" w:lineRule="auto"/>
      </w:pPr>
      <w:r>
        <w:separator/>
      </w:r>
    </w:p>
  </w:endnote>
  <w:endnote w:type="continuationSeparator" w:id="0">
    <w:p w:rsidR="00230BB6" w:rsidRDefault="0023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B6" w:rsidRDefault="00230BB6">
      <w:pPr>
        <w:spacing w:after="0" w:line="240" w:lineRule="auto"/>
      </w:pPr>
      <w:r>
        <w:separator/>
      </w:r>
    </w:p>
  </w:footnote>
  <w:footnote w:type="continuationSeparator" w:id="0">
    <w:p w:rsidR="00230BB6" w:rsidRDefault="0023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712807"/>
      <w:docPartObj>
        <w:docPartGallery w:val="Page Numbers (Top of Page)"/>
        <w:docPartUnique/>
      </w:docPartObj>
    </w:sdtPr>
    <w:sdtEndPr/>
    <w:sdtContent>
      <w:p w:rsidR="00F7469F" w:rsidRDefault="00AE23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0C2" w:rsidRPr="006770C2">
          <w:rPr>
            <w:noProof/>
            <w:lang w:val="ru-RU"/>
          </w:rPr>
          <w:t>6</w:t>
        </w:r>
        <w:r>
          <w:fldChar w:fldCharType="end"/>
        </w:r>
      </w:p>
    </w:sdtContent>
  </w:sdt>
  <w:p w:rsidR="00141201" w:rsidRDefault="00230BB6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12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>
        <v:shape id="_x0000_s3074" type="#_x0000_t75" style="position:absolute;margin-left:11pt;margin-top:790pt;width:200pt;height:25pt;z-index:-251651072;mso-position-horizontal-relative:page;mso-position-vertical-relative:page">
          <v:imagedata r:id="rId2" o:title=""/>
          <w10:wrap anchorx="page" anchory="page"/>
        </v:shape>
      </w:pict>
    </w:r>
    <w:r>
      <w:pict>
        <v:shape id="_x0000_s3075" type="#_x0000_t75" style="position:absolute;margin-left:7pt;margin-top:750pt;width:40pt;height:40pt;z-index:-251650048;mso-position-horizontal-relative:page;mso-position-vertical-relative:page">
          <v:imagedata r:id="rId3" o:title=""/>
          <w10:wrap anchorx="page" anchory="page"/>
        </v:shape>
      </w:pict>
    </w:r>
  </w:p>
  <w:p w:rsidR="00141201" w:rsidRDefault="00230BB6">
    <w:r>
      <w:pict>
        <v:shape id="_x0000_s3076" type="#_x0000_t75" style="position:absolute;margin-left:5pt;margin-top:200pt;width:25pt;height:600pt;z-index:-251654144;mso-position-horizontal-relative:page;mso-position-vertical-relative:page">
          <v:imagedata r:id="rId4" o:title=""/>
          <w10:wrap anchorx="page" anchory="page"/>
        </v:shape>
      </w:pict>
    </w:r>
    <w:r>
      <w:pict>
        <v:shape id="_x0000_s3077" type="#_x0000_t75" style="position:absolute;margin-left:11pt;margin-top:790pt;width:200pt;height:25pt;z-index:-251653120;mso-position-horizontal-relative:page;mso-position-vertical-relative:page">
          <v:imagedata r:id="rId2" o:title=""/>
          <w10:wrap anchorx="page" anchory="page"/>
        </v:shape>
      </w:pict>
    </w:r>
    <w:r>
      <w:pict>
        <v:shape id="_x0000_s3078" type="#_x0000_t75" style="position:absolute;margin-left:7pt;margin-top:750pt;width:40pt;height:40pt;z-index:-251652096;mso-position-horizontal-relative:page;mso-position-vertical-relative:page">
          <v:imagedata r:id="rId3" o:title=""/>
          <w10:wrap anchorx="page" anchory="page"/>
        </v:shape>
      </w:pict>
    </w:r>
  </w:p>
  <w:p w:rsidR="00141201" w:rsidRDefault="00230BB6">
    <w:r>
      <w:pict>
        <v:shape id="_x0000_s3079" type="#_x0000_t75" style="position:absolute;margin-left:5pt;margin-top:-50pt;width:25pt;height:600pt;z-index:-251657216;mso-position-horizontal-relative:page;mso-position-vertical-relative:page">
          <v:imagedata r:id="rId5" o:title=""/>
          <w10:wrap anchorx="page" anchory="page"/>
        </v:shape>
      </w:pict>
    </w:r>
    <w:r>
      <w:pict>
        <v:shape id="_x0000_s3080" type="#_x0000_t75" style="position:absolute;margin-left:11pt;margin-top:790pt;width:200pt;height:25pt;z-index:-251656192;mso-position-horizontal-relative:page;mso-position-vertical-relative:page">
          <v:imagedata r:id="rId2" o:title=""/>
          <w10:wrap anchorx="page" anchory="page"/>
        </v:shape>
      </w:pict>
    </w:r>
    <w:r>
      <w:pict>
        <v:shape id="_x0000_s3081" type="#_x0000_t75" style="position:absolute;margin-left:7pt;margin-top:750pt;width:40pt;height:40pt;z-index:-251655168;mso-position-horizontal-relative:page;mso-position-vertical-relative:page">
          <v:imagedata r:id="rId3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3082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01"/>
    <w:rsid w:val="00141201"/>
    <w:rsid w:val="00230BB6"/>
    <w:rsid w:val="003F4B9E"/>
    <w:rsid w:val="0055426E"/>
    <w:rsid w:val="006770C2"/>
    <w:rsid w:val="00713038"/>
    <w:rsid w:val="00AE2357"/>
    <w:rsid w:val="00BC6D5C"/>
    <w:rsid w:val="00ED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9F"/>
    <w:rPr>
      <w:rFonts w:ascii="Arial" w:hAnsi="Arial" w:cs="Arial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4 TNR,No Spacing1,No Spacing11,No Spacing_0,No Spacing_0_0,No Spacing_0_0_0,No Spacing_1,No SpaciБез интервала14,ААА,Айгерим,Без интеБез интервала,Без интервала1,Без интервала11,Без интервала111,МОЙ СТИЛЬ,Обя,мелкий,мой рабочий,норма,свой"/>
    <w:link w:val="a4"/>
    <w:uiPriority w:val="1"/>
    <w:qFormat/>
    <w:rsid w:val="00F7469F"/>
    <w:pPr>
      <w:spacing w:after="0" w:line="240" w:lineRule="auto"/>
    </w:pPr>
    <w:rPr>
      <w:rFonts w:ascii="Arial" w:eastAsia="Arial" w:hAnsi="Arial" w:cs="Arial"/>
      <w:color w:val="000000"/>
      <w:lang w:val="en-US" w:bidi="en-US"/>
    </w:rPr>
  </w:style>
  <w:style w:type="character" w:customStyle="1" w:styleId="a4">
    <w:name w:val="Без интервала Знак"/>
    <w:aliases w:val="14 TNR Знак,No Spacing1 Знак,No Spacing11 Знак,No Spacing_0 Знак,No Spacing_0_0 Знак,No Spacing_0_0_0 Знак,No Spacing_1 Знак,No SpaciБез интервала14 Знак,ААА Знак,Айгерим Знак,Без интеБез интервала Знак,Без интервала1 Знак,Обя Знак"/>
    <w:link w:val="a3"/>
    <w:uiPriority w:val="1"/>
    <w:qFormat/>
    <w:locked/>
    <w:rsid w:val="00F7469F"/>
    <w:rPr>
      <w:rFonts w:ascii="Arial" w:eastAsia="Arial" w:hAnsi="Arial" w:cs="Arial"/>
      <w:color w:val="000000"/>
      <w:lang w:val="en-US" w:bidi="en-US"/>
    </w:rPr>
  </w:style>
  <w:style w:type="paragraph" w:styleId="a5">
    <w:name w:val="header"/>
    <w:basedOn w:val="a"/>
    <w:link w:val="a6"/>
    <w:unhideWhenUsed/>
    <w:rsid w:val="00F7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469F"/>
    <w:rPr>
      <w:rFonts w:ascii="Arial" w:hAnsi="Arial" w:cs="Arial"/>
      <w:color w:val="000000"/>
      <w:lang w:val="en-US"/>
    </w:rPr>
  </w:style>
  <w:style w:type="paragraph" w:styleId="a7">
    <w:name w:val="footer"/>
    <w:basedOn w:val="a"/>
    <w:link w:val="a8"/>
    <w:uiPriority w:val="99"/>
    <w:unhideWhenUsed/>
    <w:rsid w:val="00F7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469F"/>
    <w:rPr>
      <w:rFonts w:ascii="Arial" w:hAnsi="Arial" w:cs="Arial"/>
      <w:color w:val="000000"/>
      <w:lang w:val="en-US"/>
    </w:rPr>
  </w:style>
  <w:style w:type="character" w:customStyle="1" w:styleId="1">
    <w:name w:val="Верхний колонтитул Знак1"/>
    <w:basedOn w:val="a0"/>
    <w:locked/>
    <w:rsid w:val="00F7469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5"/>
    <w:rsid w:val="0039266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9266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81">
    <w:name w:val="Основной текст (8) + Не курсив"/>
    <w:basedOn w:val="8"/>
    <w:rsid w:val="00392660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9"/>
    <w:rsid w:val="00392660"/>
    <w:pPr>
      <w:shd w:val="clear" w:color="auto" w:fill="FFFFFF"/>
      <w:spacing w:after="840" w:line="299" w:lineRule="exact"/>
      <w:ind w:hanging="340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80">
    <w:name w:val="Основной текст (8)"/>
    <w:basedOn w:val="a"/>
    <w:link w:val="8"/>
    <w:rsid w:val="00392660"/>
    <w:pPr>
      <w:shd w:val="clear" w:color="auto" w:fill="FFFFFF"/>
      <w:spacing w:after="0" w:line="295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D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7832"/>
    <w:rPr>
      <w:rFonts w:ascii="Tahoma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9F"/>
    <w:rPr>
      <w:rFonts w:ascii="Arial" w:hAnsi="Arial" w:cs="Arial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4 TNR,No Spacing1,No Spacing11,No Spacing_0,No Spacing_0_0,No Spacing_0_0_0,No Spacing_1,No SpaciБез интервала14,ААА,Айгерим,Без интеБез интервала,Без интервала1,Без интервала11,Без интервала111,МОЙ СТИЛЬ,Обя,мелкий,мой рабочий,норма,свой"/>
    <w:link w:val="a4"/>
    <w:uiPriority w:val="1"/>
    <w:qFormat/>
    <w:rsid w:val="00F7469F"/>
    <w:pPr>
      <w:spacing w:after="0" w:line="240" w:lineRule="auto"/>
    </w:pPr>
    <w:rPr>
      <w:rFonts w:ascii="Arial" w:eastAsia="Arial" w:hAnsi="Arial" w:cs="Arial"/>
      <w:color w:val="000000"/>
      <w:lang w:val="en-US" w:bidi="en-US"/>
    </w:rPr>
  </w:style>
  <w:style w:type="character" w:customStyle="1" w:styleId="a4">
    <w:name w:val="Без интервала Знак"/>
    <w:aliases w:val="14 TNR Знак,No Spacing1 Знак,No Spacing11 Знак,No Spacing_0 Знак,No Spacing_0_0 Знак,No Spacing_0_0_0 Знак,No Spacing_1 Знак,No SpaciБез интервала14 Знак,ААА Знак,Айгерим Знак,Без интеБез интервала Знак,Без интервала1 Знак,Обя Знак"/>
    <w:link w:val="a3"/>
    <w:uiPriority w:val="1"/>
    <w:qFormat/>
    <w:locked/>
    <w:rsid w:val="00F7469F"/>
    <w:rPr>
      <w:rFonts w:ascii="Arial" w:eastAsia="Arial" w:hAnsi="Arial" w:cs="Arial"/>
      <w:color w:val="000000"/>
      <w:lang w:val="en-US" w:bidi="en-US"/>
    </w:rPr>
  </w:style>
  <w:style w:type="paragraph" w:styleId="a5">
    <w:name w:val="header"/>
    <w:basedOn w:val="a"/>
    <w:link w:val="a6"/>
    <w:unhideWhenUsed/>
    <w:rsid w:val="00F7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469F"/>
    <w:rPr>
      <w:rFonts w:ascii="Arial" w:hAnsi="Arial" w:cs="Arial"/>
      <w:color w:val="000000"/>
      <w:lang w:val="en-US"/>
    </w:rPr>
  </w:style>
  <w:style w:type="paragraph" w:styleId="a7">
    <w:name w:val="footer"/>
    <w:basedOn w:val="a"/>
    <w:link w:val="a8"/>
    <w:uiPriority w:val="99"/>
    <w:unhideWhenUsed/>
    <w:rsid w:val="00F7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469F"/>
    <w:rPr>
      <w:rFonts w:ascii="Arial" w:hAnsi="Arial" w:cs="Arial"/>
      <w:color w:val="000000"/>
      <w:lang w:val="en-US"/>
    </w:rPr>
  </w:style>
  <w:style w:type="character" w:customStyle="1" w:styleId="1">
    <w:name w:val="Верхний колонтитул Знак1"/>
    <w:basedOn w:val="a0"/>
    <w:locked/>
    <w:rsid w:val="00F7469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5"/>
    <w:rsid w:val="0039266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9266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81">
    <w:name w:val="Основной текст (8) + Не курсив"/>
    <w:basedOn w:val="8"/>
    <w:rsid w:val="00392660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9"/>
    <w:rsid w:val="00392660"/>
    <w:pPr>
      <w:shd w:val="clear" w:color="auto" w:fill="FFFFFF"/>
      <w:spacing w:after="840" w:line="299" w:lineRule="exact"/>
      <w:ind w:hanging="340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80">
    <w:name w:val="Основной текст (8)"/>
    <w:basedOn w:val="a"/>
    <w:link w:val="8"/>
    <w:rsid w:val="00392660"/>
    <w:pPr>
      <w:shd w:val="clear" w:color="auto" w:fill="FFFFFF"/>
      <w:spacing w:after="0" w:line="295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D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7832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1329-A5ED-4404-84A8-FC56B250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ТЕМИРБУЛАТОВА ГУЛЬНАЗ БАГЛАНОВНА</dc:creator>
  <cp:lastModifiedBy>УТЕТЛЕУОВА КЛАРА КАИРЖАНОВНА</cp:lastModifiedBy>
  <cp:revision>3</cp:revision>
  <cp:lastPrinted>2025-01-29T05:14:00Z</cp:lastPrinted>
  <dcterms:created xsi:type="dcterms:W3CDTF">2025-01-31T09:47:00Z</dcterms:created>
  <dcterms:modified xsi:type="dcterms:W3CDTF">2025-01-31T09:56:00Z</dcterms:modified>
</cp:coreProperties>
</file>