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8BA6" w14:textId="77777777" w:rsidR="00F96AB7" w:rsidRPr="00236C0F" w:rsidRDefault="009404AE" w:rsidP="00236C0F">
      <w:pPr>
        <w:jc w:val="center"/>
        <w:rPr>
          <w:rFonts w:ascii="Times New Roman" w:hAnsi="Times New Roman" w:cs="Times New Roman"/>
          <w:b/>
          <w:bCs/>
          <w:sz w:val="24"/>
          <w:szCs w:val="24"/>
        </w:rPr>
      </w:pPr>
      <w:r w:rsidRPr="00236C0F">
        <w:rPr>
          <w:rFonts w:ascii="Times New Roman" w:hAnsi="Times New Roman" w:cs="Times New Roman"/>
          <w:b/>
          <w:bCs/>
          <w:sz w:val="24"/>
          <w:szCs w:val="24"/>
        </w:rPr>
        <w:t>Несоответствие выводов суда фактическим обстоятельствам дела, явилось основанием для отмены судебных актов и принятия нового постановления</w:t>
      </w:r>
    </w:p>
    <w:p w14:paraId="043CA680" w14:textId="77777777" w:rsidR="00F96AB7" w:rsidRPr="00236C0F" w:rsidRDefault="00F96AB7" w:rsidP="00A81D5F">
      <w:pPr>
        <w:jc w:val="both"/>
        <w:rPr>
          <w:rFonts w:ascii="Times New Roman" w:hAnsi="Times New Roman" w:cs="Times New Roman"/>
          <w:sz w:val="24"/>
          <w:szCs w:val="24"/>
        </w:rPr>
      </w:pPr>
    </w:p>
    <w:p w14:paraId="09DCBD3E"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Постановлением заместителя руководителя Управления государственных доходов по Ауэзовскому району города Алматы (далее – управление) от 23 июня 2016 года ТОО «D» (далее – товарищество) привлечено к административной ответственности по части 3 статьи 278 Кодекса об административных правонарушениях Республики Казахстан (далее – КоАП) с наложением взыскания в виде штрафа в размере 40% от суммы превышения фактически исчисленного налога на сумму 9 821 080 тенге. </w:t>
      </w:r>
    </w:p>
    <w:p w14:paraId="700A4BFC"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Постановлением специализированного межрайонного административного суда города Алматы от 8 июля 2016 года вышеуказанное постановление отменено, производство по делу об административном правонарушении прекращено за отсутствием в действиях товарищества состава административного правонарушения, предусмотренного частью 3 статьи 278 КоАП. </w:t>
      </w:r>
    </w:p>
    <w:p w14:paraId="29790108"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Суд первой инстанции пришел к выводу о том, что действия товарищества подлежат квалификации не по части 3 статьи 278, а по статье 272 КоАП. Специализированная судебная коллегия Верховного Суда признала необоснованными указанные выводы суда ввиду следующего. </w:t>
      </w:r>
    </w:p>
    <w:p w14:paraId="0CC3C8B5" w14:textId="4DF7760F"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Диспозиция части 3 статьи 278 КоАП предусматривает ответственность за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20%, если это действие не содержит признаков уголовно наказуемого деяния. </w:t>
      </w:r>
    </w:p>
    <w:p w14:paraId="26581DC3" w14:textId="2B257FC9"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Следует отметить, что данный </w:t>
      </w:r>
      <w:hyperlink r:id="rId6" w:history="1">
        <w:r w:rsidRPr="00BC5577">
          <w:rPr>
            <w:rStyle w:val="aa"/>
            <w:rFonts w:ascii="Times New Roman" w:hAnsi="Times New Roman" w:cs="Times New Roman"/>
            <w:sz w:val="24"/>
            <w:szCs w:val="24"/>
          </w:rPr>
          <w:t>состав административного правонарушения</w:t>
        </w:r>
      </w:hyperlink>
      <w:r w:rsidRPr="00236C0F">
        <w:rPr>
          <w:rFonts w:ascii="Times New Roman" w:hAnsi="Times New Roman" w:cs="Times New Roman"/>
          <w:sz w:val="24"/>
          <w:szCs w:val="24"/>
        </w:rPr>
        <w:t xml:space="preserve"> является формальным и не зависит от наступления вредных последствий, в том числе и невозможности заранее рассчитать получение дохода. Судом установлено, что согласно декларации по корпоративному подоходному налогу (далее – КПН) совокупный годовой доход товарищества за 2015 год составил 699 125 267 тенге. </w:t>
      </w:r>
    </w:p>
    <w:p w14:paraId="738AE28C"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Данная сумма сложилась в результате взаиморасчетов с АО «Н». При этом, основная сумма реализации произведена до 20 декабря 2015 года в размере 607 371 947 тенге или 87%, с 21 по 31 декабря в размере 91 753 320 тенге или 13% от общей реализации за 2015 год. </w:t>
      </w:r>
    </w:p>
    <w:p w14:paraId="03825616" w14:textId="3A2D365A"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В соответствии с пунктом 8 статьи 141 Кодекса Республики Казахстан «О налогах и других обязательных платежах в бюджет» налогоплательщики вправе в течение отчетного налогового периода представить дополнительный расчет суммы авансовых платежей по КПН, за исключением дополнительного расчета суммы авансовых платежей по КПН, подлежащей уплате за период до сдачи декларации по КПН за предыдущий налоговый период. </w:t>
      </w:r>
    </w:p>
    <w:p w14:paraId="61AB6BD4"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При этом дополнительный расчет суммы авансовых платежей по КПН, подлежащей уплате за период после сдачи декларации по КПН за предыдущий налоговый период, составляется исходя из предполагаемой суммы дохода за отчетный налоговый период, и представляется за месяцы отчетного налогового периода, по которым не наступили сроки уплаты авансовых платежей по КПН. </w:t>
      </w:r>
    </w:p>
    <w:p w14:paraId="308BFCC5"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Во исполнение указанной нормы закона товарищество сдало 20 января 2015 года форму налоговой отчетности (далее – ФНО) 101.01 «расчет суммы авансовых платежей по КПН, подлежащей уплате до сдачи декларации» равными долями за январь, февраль и март-месяцы по 500 000 тенге на общую сумму 1 500 000 тенге. 8 апреля 2016 года - ФНО 100.00 </w:t>
      </w:r>
      <w:r w:rsidRPr="00236C0F">
        <w:rPr>
          <w:rFonts w:ascii="Times New Roman" w:hAnsi="Times New Roman" w:cs="Times New Roman"/>
          <w:sz w:val="24"/>
          <w:szCs w:val="24"/>
        </w:rPr>
        <w:lastRenderedPageBreak/>
        <w:t xml:space="preserve">«декларацию по КПН» на сумму 26 052 699 тенге, а 19 апреля 2016 года – ФНО 101.02 «расчет суммы авансовых платежей по КПН, подлежащей уплате за период после сдачи декларации» на сумму 0 тенге. </w:t>
      </w:r>
    </w:p>
    <w:p w14:paraId="3C0EC34B"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Таким образом, фактически исчисленная товариществом сумма КПН за 2015 год составила 26 052 699 тенге, а сумма авансовых платежей – 1 500 000 тенге. Соответственно, сумма превышения составила 24 552 699 тенге или 99%. При таких обстоятельствах, налицо превышение суммы фактически исчисленного КПН за 2015 год над суммой исчисленных авансовых платежей в течение 2015 года в размере более 20%. </w:t>
      </w:r>
    </w:p>
    <w:p w14:paraId="1075376B"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Товарищество могло увеличить авансовые платежи путем предоставления дополнительного расчета сумм авансовых платежей по КПН, подлежащих уплате за период после сдачи декларации по КПН за предыдущий налоговый период не позднее 20 декабря 2015 года. Однако оно не сделало этого. </w:t>
      </w:r>
    </w:p>
    <w:p w14:paraId="37ADFC27" w14:textId="77777777" w:rsid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В данном случае непредоставление дополнительного расчета сумм авансовых платежей, повлекшее превышение суммы фактически исчисленного КПН за налоговый период над суммой исчисленных авансовых платежей в течение налогового периода в размере более 20%, образует состав части 3 статьи 278, а не статьи 272 КоАП.</w:t>
      </w:r>
    </w:p>
    <w:p w14:paraId="00D3379D" w14:textId="77777777" w:rsidR="00BC5577"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 Учитывая, что товарищество осуществляло расчеты лишь с АО на основании ранее заключенного договора, по которому 87% суммы было перечислено до 20 декабря 2015 года, то оно имело возможность рассчитать авансовые платежи в течение налогового периода. В соответствии с подпунктом 1) статьи 840 КоАП несоответствие выводов суда о фактических обстоятельствах дела, изложенных в постановлении по делу об административном правонарушении, исследованным по делу доказательствам, является основанием для отмены судебного акта. </w:t>
      </w:r>
    </w:p>
    <w:p w14:paraId="00379CCD" w14:textId="73122A12" w:rsidR="00A81D5F" w:rsidRPr="00236C0F" w:rsidRDefault="00F96AB7" w:rsidP="00236C0F">
      <w:pPr>
        <w:ind w:firstLine="720"/>
        <w:jc w:val="both"/>
        <w:rPr>
          <w:rFonts w:ascii="Times New Roman" w:hAnsi="Times New Roman" w:cs="Times New Roman"/>
          <w:sz w:val="24"/>
          <w:szCs w:val="24"/>
        </w:rPr>
      </w:pPr>
      <w:r w:rsidRPr="00236C0F">
        <w:rPr>
          <w:rFonts w:ascii="Times New Roman" w:hAnsi="Times New Roman" w:cs="Times New Roman"/>
          <w:sz w:val="24"/>
          <w:szCs w:val="24"/>
        </w:rPr>
        <w:t xml:space="preserve">На основании изложенного, специализированная судебная коллегия Верховного Суда </w:t>
      </w:r>
      <w:hyperlink r:id="rId7" w:history="1">
        <w:r w:rsidRPr="00BC5577">
          <w:rPr>
            <w:rStyle w:val="aa"/>
            <w:rFonts w:ascii="Times New Roman" w:hAnsi="Times New Roman" w:cs="Times New Roman"/>
            <w:sz w:val="24"/>
            <w:szCs w:val="24"/>
          </w:rPr>
          <w:t>правомерно отменила постановление суда первой инстанции</w:t>
        </w:r>
      </w:hyperlink>
      <w:r w:rsidRPr="00236C0F">
        <w:rPr>
          <w:rFonts w:ascii="Times New Roman" w:hAnsi="Times New Roman" w:cs="Times New Roman"/>
          <w:sz w:val="24"/>
          <w:szCs w:val="24"/>
        </w:rPr>
        <w:t xml:space="preserve"> и вынесла новое постановление об отказе в удовлетворении заявления ТОО «D» об отмене постановления Управления государственных доходов по Ауэзовскому району города Алматы от 23 июня 2016 года. Протест заместителя Генерального прокурора Республики Казахстан удовлетворен.</w:t>
      </w:r>
      <w:r w:rsidR="00CF5BD5" w:rsidRPr="00236C0F">
        <w:rPr>
          <w:rFonts w:ascii="Times New Roman" w:hAnsi="Times New Roman" w:cs="Times New Roman"/>
          <w:sz w:val="24"/>
          <w:szCs w:val="24"/>
        </w:rPr>
        <w:t xml:space="preserve"> </w:t>
      </w:r>
    </w:p>
    <w:p w14:paraId="7EA7FA65" w14:textId="0D3DEF47" w:rsidR="00F173BA" w:rsidRPr="00236C0F" w:rsidRDefault="00F173BA" w:rsidP="002570B0">
      <w:pPr>
        <w:rPr>
          <w:rFonts w:ascii="Times New Roman" w:hAnsi="Times New Roman" w:cs="Times New Roman"/>
          <w:sz w:val="24"/>
          <w:szCs w:val="24"/>
        </w:rPr>
      </w:pPr>
    </w:p>
    <w:p w14:paraId="1C113091" w14:textId="5A80DFE0" w:rsidR="00F173BA" w:rsidRPr="00236C0F" w:rsidRDefault="00F173BA" w:rsidP="002570B0">
      <w:pPr>
        <w:rPr>
          <w:rFonts w:ascii="Times New Roman" w:hAnsi="Times New Roman" w:cs="Times New Roman"/>
          <w:sz w:val="24"/>
          <w:szCs w:val="24"/>
        </w:rPr>
      </w:pPr>
    </w:p>
    <w:p w14:paraId="1D196CDE" w14:textId="737247FA" w:rsidR="00F173BA" w:rsidRPr="00236C0F" w:rsidRDefault="00F173BA" w:rsidP="002570B0">
      <w:pPr>
        <w:rPr>
          <w:rFonts w:ascii="Times New Roman" w:hAnsi="Times New Roman" w:cs="Times New Roman"/>
          <w:sz w:val="24"/>
          <w:szCs w:val="24"/>
        </w:rPr>
      </w:pPr>
    </w:p>
    <w:p w14:paraId="02403F08" w14:textId="75BEB719" w:rsidR="00F173BA" w:rsidRPr="00236C0F" w:rsidRDefault="00F173BA" w:rsidP="002570B0">
      <w:pPr>
        <w:rPr>
          <w:rFonts w:ascii="Times New Roman" w:hAnsi="Times New Roman" w:cs="Times New Roman"/>
          <w:sz w:val="24"/>
          <w:szCs w:val="24"/>
        </w:rPr>
      </w:pPr>
    </w:p>
    <w:p w14:paraId="308325D5" w14:textId="324F2E94" w:rsidR="00F173BA" w:rsidRPr="00236C0F" w:rsidRDefault="00F173BA" w:rsidP="002570B0">
      <w:pPr>
        <w:rPr>
          <w:rFonts w:ascii="Times New Roman" w:hAnsi="Times New Roman" w:cs="Times New Roman"/>
          <w:sz w:val="24"/>
          <w:szCs w:val="24"/>
        </w:rPr>
      </w:pPr>
    </w:p>
    <w:p w14:paraId="22BAA135" w14:textId="6CC745FE" w:rsidR="00F173BA" w:rsidRPr="00236C0F" w:rsidRDefault="00F173BA" w:rsidP="002570B0">
      <w:pPr>
        <w:rPr>
          <w:rFonts w:ascii="Times New Roman" w:hAnsi="Times New Roman" w:cs="Times New Roman"/>
          <w:sz w:val="24"/>
          <w:szCs w:val="24"/>
        </w:rPr>
      </w:pPr>
    </w:p>
    <w:p w14:paraId="33D51603" w14:textId="10BA4AEF" w:rsidR="00F173BA" w:rsidRPr="00236C0F" w:rsidRDefault="00F173BA" w:rsidP="002570B0">
      <w:pPr>
        <w:rPr>
          <w:rFonts w:ascii="Times New Roman" w:hAnsi="Times New Roman" w:cs="Times New Roman"/>
          <w:sz w:val="24"/>
          <w:szCs w:val="24"/>
        </w:rPr>
      </w:pPr>
    </w:p>
    <w:p w14:paraId="55D95E22" w14:textId="0EFD17BF" w:rsidR="00F173BA" w:rsidRPr="00236C0F" w:rsidRDefault="00F173BA" w:rsidP="002570B0">
      <w:pPr>
        <w:rPr>
          <w:rFonts w:ascii="Times New Roman" w:hAnsi="Times New Roman" w:cs="Times New Roman"/>
          <w:sz w:val="24"/>
          <w:szCs w:val="24"/>
        </w:rPr>
      </w:pPr>
    </w:p>
    <w:p w14:paraId="1E84A240" w14:textId="61513D00" w:rsidR="00F173BA" w:rsidRPr="00236C0F" w:rsidRDefault="00F173BA" w:rsidP="002570B0">
      <w:pPr>
        <w:rPr>
          <w:rFonts w:ascii="Times New Roman" w:hAnsi="Times New Roman" w:cs="Times New Roman"/>
          <w:sz w:val="24"/>
          <w:szCs w:val="24"/>
        </w:rPr>
      </w:pPr>
    </w:p>
    <w:p w14:paraId="049E1B58" w14:textId="408BB97D" w:rsidR="00F173BA" w:rsidRPr="00236C0F" w:rsidRDefault="00F173BA" w:rsidP="002570B0">
      <w:pPr>
        <w:rPr>
          <w:rFonts w:ascii="Times New Roman" w:hAnsi="Times New Roman" w:cs="Times New Roman"/>
          <w:sz w:val="24"/>
          <w:szCs w:val="24"/>
        </w:rPr>
      </w:pPr>
    </w:p>
    <w:p w14:paraId="3F19C72F" w14:textId="49CAEBA5" w:rsidR="00F173BA" w:rsidRPr="00236C0F" w:rsidRDefault="00F173BA" w:rsidP="00F173BA">
      <w:pPr>
        <w:tabs>
          <w:tab w:val="left" w:pos="6948"/>
        </w:tabs>
        <w:rPr>
          <w:rFonts w:ascii="Times New Roman" w:hAnsi="Times New Roman" w:cs="Times New Roman"/>
          <w:sz w:val="24"/>
          <w:szCs w:val="24"/>
        </w:rPr>
      </w:pPr>
      <w:r w:rsidRPr="00236C0F">
        <w:rPr>
          <w:rFonts w:ascii="Times New Roman" w:hAnsi="Times New Roman" w:cs="Times New Roman"/>
          <w:sz w:val="24"/>
          <w:szCs w:val="24"/>
        </w:rPr>
        <w:tab/>
      </w:r>
    </w:p>
    <w:sectPr w:rsidR="00F173BA" w:rsidRPr="00236C0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36C0F"/>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04AE"/>
    <w:rsid w:val="0094655E"/>
    <w:rsid w:val="009E6904"/>
    <w:rsid w:val="00A23573"/>
    <w:rsid w:val="00A45B15"/>
    <w:rsid w:val="00A81D5F"/>
    <w:rsid w:val="00B31BDB"/>
    <w:rsid w:val="00BC5577"/>
    <w:rsid w:val="00BD7730"/>
    <w:rsid w:val="00C16D9C"/>
    <w:rsid w:val="00CB275A"/>
    <w:rsid w:val="00CF5BD5"/>
    <w:rsid w:val="00D02DFB"/>
    <w:rsid w:val="00DB660C"/>
    <w:rsid w:val="00EE78AD"/>
    <w:rsid w:val="00F173BA"/>
    <w:rsid w:val="00F96AB7"/>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C5577"/>
    <w:rPr>
      <w:color w:val="0563C1" w:themeColor="hyperlink"/>
      <w:u w:val="single"/>
    </w:rPr>
  </w:style>
  <w:style w:type="character" w:styleId="ab">
    <w:name w:val="Unresolved Mention"/>
    <w:basedOn w:val="a0"/>
    <w:uiPriority w:val="99"/>
    <w:semiHidden/>
    <w:unhideWhenUsed/>
    <w:rsid w:val="00BC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816</Words>
  <Characters>4653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2021-10-11T16:27:00Z</dcterms:modified>
</cp:coreProperties>
</file>