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FC7533" w14:textId="77777777" w:rsidR="00D0745A" w:rsidRPr="008D2A26" w:rsidRDefault="00A66AB9" w:rsidP="008D2A26">
      <w:pPr>
        <w:jc w:val="center"/>
        <w:rPr>
          <w:rFonts w:ascii="Times New Roman" w:hAnsi="Times New Roman" w:cs="Times New Roman"/>
          <w:b/>
          <w:bCs/>
          <w:sz w:val="24"/>
          <w:szCs w:val="24"/>
        </w:rPr>
      </w:pPr>
      <w:r w:rsidRPr="008D2A26">
        <w:rPr>
          <w:rFonts w:ascii="Times New Roman" w:hAnsi="Times New Roman" w:cs="Times New Roman"/>
          <w:b/>
          <w:bCs/>
          <w:sz w:val="24"/>
          <w:szCs w:val="24"/>
        </w:rPr>
        <w:t>Частные определения и письма с замечаниями</w:t>
      </w:r>
    </w:p>
    <w:p w14:paraId="6423F070" w14:textId="77777777" w:rsidR="00D0745A" w:rsidRPr="008D2A26" w:rsidRDefault="00D0745A" w:rsidP="00A81D5F">
      <w:pPr>
        <w:jc w:val="both"/>
        <w:rPr>
          <w:rFonts w:ascii="Times New Roman" w:hAnsi="Times New Roman" w:cs="Times New Roman"/>
          <w:sz w:val="24"/>
          <w:szCs w:val="24"/>
        </w:rPr>
      </w:pPr>
    </w:p>
    <w:p w14:paraId="536F8FEB" w14:textId="77777777" w:rsidR="008D2A26" w:rsidRDefault="00D0745A" w:rsidP="008D2A26">
      <w:pPr>
        <w:ind w:firstLine="720"/>
        <w:jc w:val="both"/>
        <w:rPr>
          <w:rFonts w:ascii="Times New Roman" w:hAnsi="Times New Roman" w:cs="Times New Roman"/>
          <w:sz w:val="24"/>
          <w:szCs w:val="24"/>
        </w:rPr>
      </w:pPr>
      <w:r w:rsidRPr="008D2A26">
        <w:rPr>
          <w:rFonts w:ascii="Times New Roman" w:hAnsi="Times New Roman" w:cs="Times New Roman"/>
          <w:sz w:val="24"/>
          <w:szCs w:val="24"/>
        </w:rPr>
        <w:t xml:space="preserve">Одним из действенных инструментов судебного контроля являются частные определения суда. Согласно части 1 статьи 270 ГПК при выявлении случаев нарушения законности суд вправе вынести и направить частное определение, а если нарушения допущены со стороны государственных органов, должностных лиц и государственных служащих, суд выносит и направляет частное определение соответствующим организациям, должностным или иным лицам, выполняющим управленческие функции, которые обязаны в месячный срок сообщить о принятых ими мерах. </w:t>
      </w:r>
    </w:p>
    <w:p w14:paraId="2EF634E2" w14:textId="77777777" w:rsidR="008D2A26" w:rsidRDefault="00D0745A" w:rsidP="008D2A26">
      <w:pPr>
        <w:ind w:firstLine="720"/>
        <w:jc w:val="both"/>
        <w:rPr>
          <w:rFonts w:ascii="Times New Roman" w:hAnsi="Times New Roman" w:cs="Times New Roman"/>
          <w:sz w:val="24"/>
          <w:szCs w:val="24"/>
        </w:rPr>
      </w:pPr>
      <w:r w:rsidRPr="008D2A26">
        <w:rPr>
          <w:rFonts w:ascii="Times New Roman" w:hAnsi="Times New Roman" w:cs="Times New Roman"/>
          <w:sz w:val="24"/>
          <w:szCs w:val="24"/>
        </w:rPr>
        <w:t xml:space="preserve">Основаниями для вынесения частных определений являются выявленные в судебном заседании случаи нарушения законности. Так, по гражданскому делу по иску РГУ «Департамент государственных доходов по Актюбинской области» к ТОО «Ш», ТОО «С» о признании сделок недействительными местными судами отказано в иске ввиду отсутствия доказательств, свидетельствующих о фиктивности сделок, а также обвинительного приговора органа уголовного преследования, подтверждающих виновность действий участников сделки. </w:t>
      </w:r>
    </w:p>
    <w:p w14:paraId="5A11BDB4" w14:textId="77777777" w:rsidR="008D2A26" w:rsidRDefault="00D0745A" w:rsidP="008D2A26">
      <w:pPr>
        <w:ind w:firstLine="720"/>
        <w:jc w:val="both"/>
        <w:rPr>
          <w:rFonts w:ascii="Times New Roman" w:hAnsi="Times New Roman" w:cs="Times New Roman"/>
          <w:sz w:val="24"/>
          <w:szCs w:val="24"/>
        </w:rPr>
      </w:pPr>
      <w:r w:rsidRPr="008D2A26">
        <w:rPr>
          <w:rFonts w:ascii="Times New Roman" w:hAnsi="Times New Roman" w:cs="Times New Roman"/>
          <w:sz w:val="24"/>
          <w:szCs w:val="24"/>
        </w:rPr>
        <w:t xml:space="preserve">В основу решения о фактическом исполнении договоров положены счета-фактуры, договоры, представленные в опровержение доводов налоговых органов о фиктивности сделок с этим контрагентом, что явилось основанием к отмене судебных актов и направлением дела на новое рассмотрение в суд апелляционной инстанции. </w:t>
      </w:r>
    </w:p>
    <w:p w14:paraId="388BD01E" w14:textId="77777777" w:rsidR="008D2A26" w:rsidRDefault="00D0745A" w:rsidP="008D2A26">
      <w:pPr>
        <w:ind w:firstLine="720"/>
        <w:jc w:val="both"/>
        <w:rPr>
          <w:rFonts w:ascii="Times New Roman" w:hAnsi="Times New Roman" w:cs="Times New Roman"/>
          <w:sz w:val="24"/>
          <w:szCs w:val="24"/>
        </w:rPr>
      </w:pPr>
      <w:r w:rsidRPr="008D2A26">
        <w:rPr>
          <w:rFonts w:ascii="Times New Roman" w:hAnsi="Times New Roman" w:cs="Times New Roman"/>
          <w:sz w:val="24"/>
          <w:szCs w:val="24"/>
        </w:rPr>
        <w:t xml:space="preserve">Кассационной коллегией 6 декабря 2017 года вынесено частное определение в адрес РГУ «Департамент государственных доходов по Актюбинской области» с указанием, что Налоговый орган, предъявляя иск, мотивировал нарушением требований, предъявляемых к форме, содержанию и участникам сделки, а также к свободе их волеизъявления. </w:t>
      </w:r>
    </w:p>
    <w:p w14:paraId="53635ABE" w14:textId="77777777" w:rsidR="008D2A26" w:rsidRDefault="00D0745A" w:rsidP="008D2A26">
      <w:pPr>
        <w:ind w:firstLine="720"/>
        <w:jc w:val="both"/>
        <w:rPr>
          <w:rFonts w:ascii="Times New Roman" w:hAnsi="Times New Roman" w:cs="Times New Roman"/>
          <w:sz w:val="24"/>
          <w:szCs w:val="24"/>
        </w:rPr>
      </w:pPr>
      <w:r w:rsidRPr="008D2A26">
        <w:rPr>
          <w:rFonts w:ascii="Times New Roman" w:hAnsi="Times New Roman" w:cs="Times New Roman"/>
          <w:sz w:val="24"/>
          <w:szCs w:val="24"/>
        </w:rPr>
        <w:t xml:space="preserve">В частном определении коллегия указала, что право Налогового органа о признании сделки недействительной может реализоваться лишь постольку, поскольку удовлетворение соответствующего требования направлено на выполнение задач налоговых органов по обеспечению поступлений в бюджет налогов и сборов. </w:t>
      </w:r>
    </w:p>
    <w:p w14:paraId="15FE0ADF" w14:textId="41124399" w:rsidR="008D2A26" w:rsidRDefault="00D0745A" w:rsidP="008D2A26">
      <w:pPr>
        <w:ind w:firstLine="720"/>
        <w:jc w:val="both"/>
        <w:rPr>
          <w:rFonts w:ascii="Times New Roman" w:hAnsi="Times New Roman" w:cs="Times New Roman"/>
          <w:sz w:val="24"/>
          <w:szCs w:val="24"/>
        </w:rPr>
      </w:pPr>
      <w:r w:rsidRPr="008D2A26">
        <w:rPr>
          <w:rFonts w:ascii="Times New Roman" w:hAnsi="Times New Roman" w:cs="Times New Roman"/>
          <w:sz w:val="24"/>
          <w:szCs w:val="24"/>
        </w:rPr>
        <w:t xml:space="preserve">Между тем при подаче иска Налоговый орган не обеспечил полноту исследования и анализа налоговой отчетности ответчиков, возможности либо невозможности реального совершения и исполнения сделок, </w:t>
      </w:r>
      <w:hyperlink r:id="rId6" w:history="1">
        <w:r w:rsidRPr="00372518">
          <w:rPr>
            <w:rStyle w:val="aa"/>
            <w:rFonts w:ascii="Times New Roman" w:hAnsi="Times New Roman" w:cs="Times New Roman"/>
            <w:sz w:val="24"/>
            <w:szCs w:val="24"/>
          </w:rPr>
          <w:t>установлении факта нарушения налогоплательщиков</w:t>
        </w:r>
      </w:hyperlink>
      <w:r w:rsidRPr="008D2A26">
        <w:rPr>
          <w:rFonts w:ascii="Times New Roman" w:hAnsi="Times New Roman" w:cs="Times New Roman"/>
          <w:sz w:val="24"/>
          <w:szCs w:val="24"/>
        </w:rPr>
        <w:t xml:space="preserve"> налоговой обязанности. За допущенные нарушения судьями нижестоящих судов норм материального и процессуального права по результатам пересмотра дел кассационной коллегией было направлено 35 писем в адрес председателей судов. </w:t>
      </w:r>
    </w:p>
    <w:p w14:paraId="1C06C341" w14:textId="77777777" w:rsidR="008D2A26" w:rsidRDefault="00D0745A" w:rsidP="008D2A26">
      <w:pPr>
        <w:ind w:firstLine="720"/>
        <w:jc w:val="both"/>
        <w:rPr>
          <w:rFonts w:ascii="Times New Roman" w:hAnsi="Times New Roman" w:cs="Times New Roman"/>
          <w:sz w:val="24"/>
          <w:szCs w:val="24"/>
        </w:rPr>
      </w:pPr>
      <w:r w:rsidRPr="008D2A26">
        <w:rPr>
          <w:rFonts w:ascii="Times New Roman" w:hAnsi="Times New Roman" w:cs="Times New Roman"/>
          <w:sz w:val="24"/>
          <w:szCs w:val="24"/>
        </w:rPr>
        <w:t xml:space="preserve">Также направлено 4 письма в адрес Генеральной прокуратуры Республики Казахстан, Министерства финансов, прокуратуры </w:t>
      </w:r>
      <w:proofErr w:type="spellStart"/>
      <w:r w:rsidRPr="008D2A26">
        <w:rPr>
          <w:rFonts w:ascii="Times New Roman" w:hAnsi="Times New Roman" w:cs="Times New Roman"/>
          <w:sz w:val="24"/>
          <w:szCs w:val="24"/>
        </w:rPr>
        <w:t>ВосточноКазахстанской</w:t>
      </w:r>
      <w:proofErr w:type="spellEnd"/>
      <w:r w:rsidRPr="008D2A26">
        <w:rPr>
          <w:rFonts w:ascii="Times New Roman" w:hAnsi="Times New Roman" w:cs="Times New Roman"/>
          <w:sz w:val="24"/>
          <w:szCs w:val="24"/>
        </w:rPr>
        <w:t xml:space="preserve"> области, Акима города Алматы. Областными и приравненными к ним судами по письмам с замечаниями были проведены расширенные совещания, на которых судьям, допустившим нарушения, указано на необходимость строгого соблюдения законности при отправлении правосудия. </w:t>
      </w:r>
    </w:p>
    <w:p w14:paraId="48007574" w14:textId="77777777" w:rsidR="008D2A26" w:rsidRDefault="00D0745A" w:rsidP="008D2A26">
      <w:pPr>
        <w:ind w:firstLine="720"/>
        <w:jc w:val="both"/>
        <w:rPr>
          <w:rFonts w:ascii="Times New Roman" w:hAnsi="Times New Roman" w:cs="Times New Roman"/>
          <w:sz w:val="24"/>
          <w:szCs w:val="24"/>
        </w:rPr>
      </w:pPr>
      <w:r w:rsidRPr="008D2A26">
        <w:rPr>
          <w:rFonts w:ascii="Times New Roman" w:hAnsi="Times New Roman" w:cs="Times New Roman"/>
          <w:sz w:val="24"/>
          <w:szCs w:val="24"/>
        </w:rPr>
        <w:t xml:space="preserve">Так, постановлением судебной коллегии по гражданским делам Верховного Суда от 11 января 2017 года судебные акты по гражданскому делу по иску </w:t>
      </w:r>
      <w:proofErr w:type="spellStart"/>
      <w:r w:rsidRPr="008D2A26">
        <w:rPr>
          <w:rFonts w:ascii="Times New Roman" w:hAnsi="Times New Roman" w:cs="Times New Roman"/>
          <w:sz w:val="24"/>
          <w:szCs w:val="24"/>
        </w:rPr>
        <w:t>банкротного</w:t>
      </w:r>
      <w:proofErr w:type="spellEnd"/>
      <w:r w:rsidRPr="008D2A26">
        <w:rPr>
          <w:rFonts w:ascii="Times New Roman" w:hAnsi="Times New Roman" w:cs="Times New Roman"/>
          <w:sz w:val="24"/>
          <w:szCs w:val="24"/>
        </w:rPr>
        <w:t xml:space="preserve"> управляющего ТОО к ГУ «Министерство культуры и спорта РК» о возврате имущества должника были отменены, производство по делу прекращено. Установлено, что в 2006‒2008 годах между ГУ и ТОО заключено три договора о государственных закупках, в обеспечение исполнения </w:t>
      </w:r>
      <w:r w:rsidRPr="008D2A26">
        <w:rPr>
          <w:rFonts w:ascii="Times New Roman" w:hAnsi="Times New Roman" w:cs="Times New Roman"/>
          <w:sz w:val="24"/>
          <w:szCs w:val="24"/>
        </w:rPr>
        <w:lastRenderedPageBreak/>
        <w:t xml:space="preserve">которых ТОО внесло на счет заказчика 61 250 000 тенге. В 2012 году решением СМЭС города Алматы ТОО признано банкротом с возбуждением конкурсного производства. </w:t>
      </w:r>
    </w:p>
    <w:p w14:paraId="19B2D19F" w14:textId="77777777" w:rsidR="008D2A26" w:rsidRDefault="00D0745A" w:rsidP="008D2A26">
      <w:pPr>
        <w:ind w:firstLine="720"/>
        <w:jc w:val="both"/>
        <w:rPr>
          <w:rFonts w:ascii="Times New Roman" w:hAnsi="Times New Roman" w:cs="Times New Roman"/>
          <w:sz w:val="24"/>
          <w:szCs w:val="24"/>
        </w:rPr>
      </w:pPr>
      <w:r w:rsidRPr="008D2A26">
        <w:rPr>
          <w:rFonts w:ascii="Times New Roman" w:hAnsi="Times New Roman" w:cs="Times New Roman"/>
          <w:sz w:val="24"/>
          <w:szCs w:val="24"/>
        </w:rPr>
        <w:t xml:space="preserve">В 2015 году </w:t>
      </w:r>
      <w:proofErr w:type="spellStart"/>
      <w:r w:rsidRPr="008D2A26">
        <w:rPr>
          <w:rFonts w:ascii="Times New Roman" w:hAnsi="Times New Roman" w:cs="Times New Roman"/>
          <w:sz w:val="24"/>
          <w:szCs w:val="24"/>
        </w:rPr>
        <w:t>банкротный</w:t>
      </w:r>
      <w:proofErr w:type="spellEnd"/>
      <w:r w:rsidRPr="008D2A26">
        <w:rPr>
          <w:rFonts w:ascii="Times New Roman" w:hAnsi="Times New Roman" w:cs="Times New Roman"/>
          <w:sz w:val="24"/>
          <w:szCs w:val="24"/>
        </w:rPr>
        <w:t xml:space="preserve"> управляющий ТОО обратился к ГУ с претензией погашения долга. ГУ дан ответ об истечении сроков исковой давности с указанием о некачественном исполнении ТОО обязательств и несвоевременном устранении недостатков, что исключает возврат залога. После чего </w:t>
      </w:r>
      <w:proofErr w:type="spellStart"/>
      <w:r w:rsidRPr="008D2A26">
        <w:rPr>
          <w:rFonts w:ascii="Times New Roman" w:hAnsi="Times New Roman" w:cs="Times New Roman"/>
          <w:sz w:val="24"/>
          <w:szCs w:val="24"/>
        </w:rPr>
        <w:t>банкротный</w:t>
      </w:r>
      <w:proofErr w:type="spellEnd"/>
      <w:r w:rsidRPr="008D2A26">
        <w:rPr>
          <w:rFonts w:ascii="Times New Roman" w:hAnsi="Times New Roman" w:cs="Times New Roman"/>
          <w:sz w:val="24"/>
          <w:szCs w:val="24"/>
        </w:rPr>
        <w:t xml:space="preserve"> управляющий ТОО обратился с иском в суд о взыскании дебиторской задолженности. </w:t>
      </w:r>
    </w:p>
    <w:p w14:paraId="037CE0D2" w14:textId="77777777" w:rsidR="008D2A26" w:rsidRDefault="00D0745A" w:rsidP="008D2A26">
      <w:pPr>
        <w:ind w:firstLine="720"/>
        <w:jc w:val="both"/>
        <w:rPr>
          <w:rFonts w:ascii="Times New Roman" w:hAnsi="Times New Roman" w:cs="Times New Roman"/>
          <w:sz w:val="24"/>
          <w:szCs w:val="24"/>
        </w:rPr>
      </w:pPr>
      <w:r w:rsidRPr="008D2A26">
        <w:rPr>
          <w:rFonts w:ascii="Times New Roman" w:hAnsi="Times New Roman" w:cs="Times New Roman"/>
          <w:sz w:val="24"/>
          <w:szCs w:val="24"/>
        </w:rPr>
        <w:t xml:space="preserve">Вступившим в законную силу решением СМЭС города Астана от 15 июня 2016 года в иске отказано ввиду истечения исковой давности. В 2016 году спорные денежные средства возвращены в республиканский бюджет. 17 марта 2016 года </w:t>
      </w:r>
      <w:proofErr w:type="spellStart"/>
      <w:r w:rsidRPr="008D2A26">
        <w:rPr>
          <w:rFonts w:ascii="Times New Roman" w:hAnsi="Times New Roman" w:cs="Times New Roman"/>
          <w:sz w:val="24"/>
          <w:szCs w:val="24"/>
        </w:rPr>
        <w:t>банкротный</w:t>
      </w:r>
      <w:proofErr w:type="spellEnd"/>
      <w:r w:rsidRPr="008D2A26">
        <w:rPr>
          <w:rFonts w:ascii="Times New Roman" w:hAnsi="Times New Roman" w:cs="Times New Roman"/>
          <w:sz w:val="24"/>
          <w:szCs w:val="24"/>
        </w:rPr>
        <w:t xml:space="preserve"> управляющий ТОО повторно предъявил иск в СМЭС г. Алматы. Решением суда, оставленным без изменения судом апелляционной инстанции, иск удовлетворен. </w:t>
      </w:r>
    </w:p>
    <w:p w14:paraId="15CD3DD8" w14:textId="77777777" w:rsidR="008D2A26" w:rsidRDefault="00D0745A" w:rsidP="008D2A26">
      <w:pPr>
        <w:ind w:firstLine="720"/>
        <w:jc w:val="both"/>
        <w:rPr>
          <w:rFonts w:ascii="Times New Roman" w:hAnsi="Times New Roman" w:cs="Times New Roman"/>
          <w:sz w:val="24"/>
          <w:szCs w:val="24"/>
        </w:rPr>
      </w:pPr>
      <w:r w:rsidRPr="008D2A26">
        <w:rPr>
          <w:rFonts w:ascii="Times New Roman" w:hAnsi="Times New Roman" w:cs="Times New Roman"/>
          <w:sz w:val="24"/>
          <w:szCs w:val="24"/>
        </w:rPr>
        <w:t xml:space="preserve">Постановлено взыскать с ГУ с пользу ТОО 16 250 000 тенге. Взыскание задолженности местные суды обосновали тем, что на спорные правоотношения не распространяется срок исковой давности, поскольку спорные денежные средства являются собственностью ТОО, не лишенного правом их владения. </w:t>
      </w:r>
    </w:p>
    <w:p w14:paraId="00379CCD" w14:textId="5B35B009" w:rsidR="00A81D5F" w:rsidRPr="008D2A26" w:rsidRDefault="00D0745A" w:rsidP="008D2A26">
      <w:pPr>
        <w:ind w:firstLine="720"/>
        <w:jc w:val="both"/>
        <w:rPr>
          <w:rFonts w:ascii="Times New Roman" w:hAnsi="Times New Roman" w:cs="Times New Roman"/>
          <w:sz w:val="24"/>
          <w:szCs w:val="24"/>
        </w:rPr>
      </w:pPr>
      <w:r w:rsidRPr="008D2A26">
        <w:rPr>
          <w:rFonts w:ascii="Times New Roman" w:hAnsi="Times New Roman" w:cs="Times New Roman"/>
          <w:sz w:val="24"/>
          <w:szCs w:val="24"/>
        </w:rPr>
        <w:t xml:space="preserve">Суд кассационной инстанции указал на ошибочность выводов местных судов, поскольку не было учтено, что в силу части 5 статьи 240 ГПК по вступлении решения суда в законную силу стороны и другие лица, </w:t>
      </w:r>
      <w:hyperlink r:id="rId7" w:history="1">
        <w:r w:rsidRPr="008D2A26">
          <w:rPr>
            <w:rStyle w:val="aa"/>
            <w:rFonts w:ascii="Times New Roman" w:hAnsi="Times New Roman" w:cs="Times New Roman"/>
            <w:sz w:val="24"/>
            <w:szCs w:val="24"/>
          </w:rPr>
          <w:t>участвующие в деле, не могут вновь заявлять в суде те</w:t>
        </w:r>
      </w:hyperlink>
      <w:r w:rsidRPr="008D2A26">
        <w:rPr>
          <w:rFonts w:ascii="Times New Roman" w:hAnsi="Times New Roman" w:cs="Times New Roman"/>
          <w:sz w:val="24"/>
          <w:szCs w:val="24"/>
        </w:rPr>
        <w:t xml:space="preserve"> же исковые требования, по тем же основаниям и оспаривать в другом процессе установленные судом факты и правоотношения.</w:t>
      </w:r>
      <w:r w:rsidR="00CF5BD5" w:rsidRPr="008D2A26">
        <w:rPr>
          <w:rFonts w:ascii="Times New Roman" w:hAnsi="Times New Roman" w:cs="Times New Roman"/>
          <w:sz w:val="24"/>
          <w:szCs w:val="24"/>
        </w:rPr>
        <w:t xml:space="preserve"> </w:t>
      </w:r>
    </w:p>
    <w:p w14:paraId="7EA7FA65" w14:textId="0D3DEF47" w:rsidR="00F173BA" w:rsidRPr="008D2A26" w:rsidRDefault="00F173BA" w:rsidP="002570B0">
      <w:pPr>
        <w:rPr>
          <w:rFonts w:ascii="Times New Roman" w:hAnsi="Times New Roman" w:cs="Times New Roman"/>
          <w:sz w:val="24"/>
          <w:szCs w:val="24"/>
        </w:rPr>
      </w:pPr>
    </w:p>
    <w:p w14:paraId="1C113091" w14:textId="5A80DFE0" w:rsidR="00F173BA" w:rsidRPr="008D2A26" w:rsidRDefault="00F173BA" w:rsidP="002570B0">
      <w:pPr>
        <w:rPr>
          <w:rFonts w:ascii="Times New Roman" w:hAnsi="Times New Roman" w:cs="Times New Roman"/>
          <w:sz w:val="24"/>
          <w:szCs w:val="24"/>
        </w:rPr>
      </w:pPr>
    </w:p>
    <w:p w14:paraId="1D196CDE" w14:textId="737247FA" w:rsidR="00F173BA" w:rsidRPr="008D2A26" w:rsidRDefault="00F173BA" w:rsidP="002570B0">
      <w:pPr>
        <w:rPr>
          <w:rFonts w:ascii="Times New Roman" w:hAnsi="Times New Roman" w:cs="Times New Roman"/>
          <w:sz w:val="24"/>
          <w:szCs w:val="24"/>
        </w:rPr>
      </w:pPr>
    </w:p>
    <w:p w14:paraId="02403F08" w14:textId="75BEB719" w:rsidR="00F173BA" w:rsidRPr="008D2A26" w:rsidRDefault="00F173BA" w:rsidP="002570B0">
      <w:pPr>
        <w:rPr>
          <w:rFonts w:ascii="Times New Roman" w:hAnsi="Times New Roman" w:cs="Times New Roman"/>
          <w:sz w:val="24"/>
          <w:szCs w:val="24"/>
        </w:rPr>
      </w:pPr>
    </w:p>
    <w:p w14:paraId="308325D5" w14:textId="324F2E94" w:rsidR="00F173BA" w:rsidRPr="008D2A26" w:rsidRDefault="00F173BA" w:rsidP="002570B0">
      <w:pPr>
        <w:rPr>
          <w:rFonts w:ascii="Times New Roman" w:hAnsi="Times New Roman" w:cs="Times New Roman"/>
          <w:sz w:val="24"/>
          <w:szCs w:val="24"/>
        </w:rPr>
      </w:pPr>
    </w:p>
    <w:p w14:paraId="22BAA135" w14:textId="6CC745FE" w:rsidR="00F173BA" w:rsidRPr="008D2A26" w:rsidRDefault="00F173BA" w:rsidP="002570B0">
      <w:pPr>
        <w:rPr>
          <w:rFonts w:ascii="Times New Roman" w:hAnsi="Times New Roman" w:cs="Times New Roman"/>
          <w:sz w:val="24"/>
          <w:szCs w:val="24"/>
        </w:rPr>
      </w:pPr>
    </w:p>
    <w:p w14:paraId="33D51603" w14:textId="10BA4AEF" w:rsidR="00F173BA" w:rsidRPr="008D2A26" w:rsidRDefault="00F173BA" w:rsidP="002570B0">
      <w:pPr>
        <w:rPr>
          <w:rFonts w:ascii="Times New Roman" w:hAnsi="Times New Roman" w:cs="Times New Roman"/>
          <w:sz w:val="24"/>
          <w:szCs w:val="24"/>
        </w:rPr>
      </w:pPr>
    </w:p>
    <w:p w14:paraId="55D95E22" w14:textId="0EFD17BF" w:rsidR="00F173BA" w:rsidRPr="008D2A26" w:rsidRDefault="00F173BA" w:rsidP="002570B0">
      <w:pPr>
        <w:rPr>
          <w:rFonts w:ascii="Times New Roman" w:hAnsi="Times New Roman" w:cs="Times New Roman"/>
          <w:sz w:val="24"/>
          <w:szCs w:val="24"/>
        </w:rPr>
      </w:pPr>
    </w:p>
    <w:p w14:paraId="1E84A240" w14:textId="61513D00" w:rsidR="00F173BA" w:rsidRPr="008D2A26" w:rsidRDefault="00F173BA" w:rsidP="002570B0">
      <w:pPr>
        <w:rPr>
          <w:rFonts w:ascii="Times New Roman" w:hAnsi="Times New Roman" w:cs="Times New Roman"/>
          <w:sz w:val="24"/>
          <w:szCs w:val="24"/>
        </w:rPr>
      </w:pPr>
    </w:p>
    <w:p w14:paraId="049E1B58" w14:textId="408BB97D" w:rsidR="00F173BA" w:rsidRPr="008D2A26" w:rsidRDefault="00F173BA" w:rsidP="002570B0">
      <w:pPr>
        <w:rPr>
          <w:rFonts w:ascii="Times New Roman" w:hAnsi="Times New Roman" w:cs="Times New Roman"/>
          <w:sz w:val="24"/>
          <w:szCs w:val="24"/>
        </w:rPr>
      </w:pPr>
    </w:p>
    <w:p w14:paraId="3F19C72F" w14:textId="49CAEBA5" w:rsidR="00F173BA" w:rsidRPr="008D2A26" w:rsidRDefault="00F173BA" w:rsidP="00F173BA">
      <w:pPr>
        <w:tabs>
          <w:tab w:val="left" w:pos="6948"/>
        </w:tabs>
        <w:rPr>
          <w:rFonts w:ascii="Times New Roman" w:hAnsi="Times New Roman" w:cs="Times New Roman"/>
          <w:sz w:val="24"/>
          <w:szCs w:val="24"/>
        </w:rPr>
      </w:pPr>
      <w:r w:rsidRPr="008D2A26">
        <w:rPr>
          <w:rFonts w:ascii="Times New Roman" w:hAnsi="Times New Roman" w:cs="Times New Roman"/>
          <w:sz w:val="24"/>
          <w:szCs w:val="24"/>
        </w:rPr>
        <w:tab/>
      </w:r>
    </w:p>
    <w:sectPr w:rsidR="00F173BA" w:rsidRPr="008D2A26" w:rsidSect="00327D34">
      <w:headerReference w:type="default" r:id="rId8"/>
      <w:footerReference w:type="default" r:id="rId9"/>
      <w:pgSz w:w="11906" w:h="16838"/>
      <w:pgMar w:top="397" w:right="991" w:bottom="568" w:left="1134" w:header="142" w:footer="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03188C" w14:textId="77777777" w:rsidR="001E7ED8" w:rsidRDefault="001E7ED8" w:rsidP="00702393">
      <w:pPr>
        <w:spacing w:after="0" w:line="240" w:lineRule="auto"/>
      </w:pPr>
      <w:r>
        <w:separator/>
      </w:r>
    </w:p>
  </w:endnote>
  <w:endnote w:type="continuationSeparator" w:id="0">
    <w:p w14:paraId="29159776" w14:textId="77777777" w:rsidR="001E7ED8" w:rsidRDefault="001E7ED8" w:rsidP="00702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C913D" w14:textId="142F5E2C" w:rsidR="0091354D" w:rsidRDefault="001539CF" w:rsidP="0091354D">
    <w:pPr>
      <w:pStyle w:val="a6"/>
      <w:jc w:val="center"/>
    </w:pPr>
    <w:r>
      <w:rPr>
        <w:noProof/>
        <w:lang w:eastAsia="ru-RU"/>
      </w:rPr>
      <w:drawing>
        <wp:anchor distT="0" distB="0" distL="114300" distR="114300" simplePos="0" relativeHeight="251662336" behindDoc="1" locked="0" layoutInCell="1" allowOverlap="1" wp14:anchorId="1EE91B6A" wp14:editId="56A29045">
          <wp:simplePos x="0" y="0"/>
          <wp:positionH relativeFrom="margin">
            <wp:posOffset>-2287251</wp:posOffset>
          </wp:positionH>
          <wp:positionV relativeFrom="paragraph">
            <wp:posOffset>-3916045</wp:posOffset>
          </wp:positionV>
          <wp:extent cx="3488264" cy="9377899"/>
          <wp:effectExtent l="0" t="0" r="0" b="0"/>
          <wp:wrapNone/>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91354D" w:rsidRPr="00CF1A0E">
      <w:rPr>
        <w:noProof/>
        <w:lang w:eastAsia="ru-RU"/>
      </w:rPr>
      <w:drawing>
        <wp:inline distT="0" distB="0" distL="0" distR="0" wp14:anchorId="2E36A52D" wp14:editId="34658AF9">
          <wp:extent cx="4782098" cy="707366"/>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074875" cy="750673"/>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B767DE" w14:textId="77777777" w:rsidR="001E7ED8" w:rsidRDefault="001E7ED8" w:rsidP="00702393">
      <w:pPr>
        <w:spacing w:after="0" w:line="240" w:lineRule="auto"/>
      </w:pPr>
      <w:r>
        <w:separator/>
      </w:r>
    </w:p>
  </w:footnote>
  <w:footnote w:type="continuationSeparator" w:id="0">
    <w:p w14:paraId="5FAC6C22" w14:textId="77777777" w:rsidR="001E7ED8" w:rsidRDefault="001E7ED8" w:rsidP="007023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3342E" w14:textId="47BF92BE" w:rsidR="00702393" w:rsidRPr="00017580" w:rsidRDefault="00940023" w:rsidP="005A3B78">
    <w:pPr>
      <w:pStyle w:val="a4"/>
      <w:tabs>
        <w:tab w:val="clear" w:pos="9355"/>
        <w:tab w:val="right" w:pos="9781"/>
      </w:tabs>
      <w:jc w:val="both"/>
    </w:pPr>
    <w:r>
      <w:rPr>
        <w:noProof/>
        <w:lang w:eastAsia="ru-RU"/>
      </w:rPr>
      <w:drawing>
        <wp:anchor distT="0" distB="0" distL="114300" distR="114300" simplePos="0" relativeHeight="251658240" behindDoc="1" locked="0" layoutInCell="1" allowOverlap="1" wp14:anchorId="0720D792" wp14:editId="0066BECF">
          <wp:simplePos x="0" y="0"/>
          <wp:positionH relativeFrom="margin">
            <wp:posOffset>1361440</wp:posOffset>
          </wp:positionH>
          <wp:positionV relativeFrom="paragraph">
            <wp:posOffset>3223268</wp:posOffset>
          </wp:positionV>
          <wp:extent cx="3488264" cy="9377899"/>
          <wp:effectExtent l="0" t="0" r="0" b="0"/>
          <wp:wrapNone/>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083357">
      <w:rPr>
        <w:noProof/>
        <w:lang w:eastAsia="ru-RU"/>
      </w:rPr>
      <w:drawing>
        <wp:anchor distT="0" distB="0" distL="114300" distR="114300" simplePos="0" relativeHeight="251656192" behindDoc="1" locked="0" layoutInCell="1" allowOverlap="1" wp14:anchorId="4CD40BCC" wp14:editId="6690AB11">
          <wp:simplePos x="0" y="0"/>
          <wp:positionH relativeFrom="margin">
            <wp:posOffset>4886325</wp:posOffset>
          </wp:positionH>
          <wp:positionV relativeFrom="paragraph">
            <wp:posOffset>743874</wp:posOffset>
          </wp:positionV>
          <wp:extent cx="3488055" cy="9377680"/>
          <wp:effectExtent l="0" t="0" r="0" b="0"/>
          <wp:wrapNone/>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055" cy="9377680"/>
                  </a:xfrm>
                  <a:prstGeom prst="rect">
                    <a:avLst/>
                  </a:prstGeom>
                  <a:noFill/>
                  <a:ln>
                    <a:noFill/>
                  </a:ln>
                </pic:spPr>
              </pic:pic>
            </a:graphicData>
          </a:graphic>
          <wp14:sizeRelH relativeFrom="page">
            <wp14:pctWidth>0</wp14:pctWidth>
          </wp14:sizeRelH>
          <wp14:sizeRelV relativeFrom="page">
            <wp14:pctHeight>0</wp14:pctHeight>
          </wp14:sizeRelV>
        </wp:anchor>
      </w:drawing>
    </w:r>
    <w:r w:rsidR="00017580">
      <w:rPr>
        <w:noProof/>
        <w:lang w:eastAsia="ru-RU"/>
      </w:rPr>
      <w:drawing>
        <wp:inline distT="0" distB="0" distL="0" distR="0" wp14:anchorId="1ED2111A" wp14:editId="1AF78A52">
          <wp:extent cx="2254250" cy="490293"/>
          <wp:effectExtent l="0" t="0" r="0" b="508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29490" cy="506657"/>
                  </a:xfrm>
                  <a:prstGeom prst="rect">
                    <a:avLst/>
                  </a:prstGeom>
                  <a:noFill/>
                  <a:ln>
                    <a:noFill/>
                  </a:ln>
                </pic:spPr>
              </pic:pic>
            </a:graphicData>
          </a:graphic>
        </wp:inline>
      </w:drawing>
    </w:r>
    <w:r w:rsidR="00017580">
      <w:t xml:space="preserve">              </w:t>
    </w:r>
    <w:r w:rsidR="00D02DFB">
      <w:t xml:space="preserve">       </w:t>
    </w:r>
    <w:r w:rsidR="005A3B78">
      <w:t xml:space="preserve">                  </w:t>
    </w:r>
    <w:r w:rsidR="00D02DFB">
      <w:t xml:space="preserve">                        </w:t>
    </w:r>
    <w:r w:rsidR="00083357">
      <w:rPr>
        <w:noProof/>
        <w:lang w:eastAsia="ru-RU"/>
      </w:rPr>
      <w:drawing>
        <wp:inline distT="0" distB="0" distL="0" distR="0" wp14:anchorId="38BCEF49" wp14:editId="4334A5C0">
          <wp:extent cx="1916010" cy="551775"/>
          <wp:effectExtent l="0" t="0" r="0" b="127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pic:nvPicPr>
                <pic:blipFill>
                  <a:blip r:embed="rId3">
                    <a:extLst>
                      <a:ext uri="{28A0092B-C50C-407E-A947-70E740481C1C}">
                        <a14:useLocalDpi xmlns:a14="http://schemas.microsoft.com/office/drawing/2010/main" val="0"/>
                      </a:ext>
                    </a:extLst>
                  </a:blip>
                  <a:stretch>
                    <a:fillRect/>
                  </a:stretch>
                </pic:blipFill>
                <pic:spPr>
                  <a:xfrm>
                    <a:off x="0" y="0"/>
                    <a:ext cx="2256020" cy="649692"/>
                  </a:xfrm>
                  <a:prstGeom prst="rect">
                    <a:avLst/>
                  </a:prstGeom>
                </pic:spPr>
              </pic:pic>
            </a:graphicData>
          </a:graphic>
        </wp:inline>
      </w:drawing>
    </w:r>
    <w:r w:rsidR="00D02DFB">
      <w:t xml:space="preserve">     </w:t>
    </w:r>
    <w:r w:rsidR="00193E1B">
      <w:rPr>
        <w:lang w:val="en-US"/>
      </w:rPr>
      <w:t xml:space="preserve">     </w:t>
    </w:r>
    <w:r w:rsidR="006B0A4D">
      <w:rPr>
        <w:lang w:val="en-US"/>
      </w:rPr>
      <w:t xml:space="preserve">              </w:t>
    </w:r>
    <w:r w:rsidR="00D02DFB">
      <w:t xml:space="preserve"> </w:t>
    </w:r>
    <w:r w:rsidR="00017580">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B659E"/>
    <w:rsid w:val="00017580"/>
    <w:rsid w:val="00083357"/>
    <w:rsid w:val="00102D7B"/>
    <w:rsid w:val="00152128"/>
    <w:rsid w:val="001539CF"/>
    <w:rsid w:val="00193E1B"/>
    <w:rsid w:val="001C5801"/>
    <w:rsid w:val="001E7ED8"/>
    <w:rsid w:val="002570B0"/>
    <w:rsid w:val="002A1A72"/>
    <w:rsid w:val="002B659E"/>
    <w:rsid w:val="00315990"/>
    <w:rsid w:val="00327D34"/>
    <w:rsid w:val="00327E86"/>
    <w:rsid w:val="00372518"/>
    <w:rsid w:val="00396063"/>
    <w:rsid w:val="003C77EA"/>
    <w:rsid w:val="003E3623"/>
    <w:rsid w:val="00442855"/>
    <w:rsid w:val="00461793"/>
    <w:rsid w:val="005A3B78"/>
    <w:rsid w:val="006B0A4D"/>
    <w:rsid w:val="006E2D0A"/>
    <w:rsid w:val="00702393"/>
    <w:rsid w:val="00722D19"/>
    <w:rsid w:val="00812FA6"/>
    <w:rsid w:val="008A7236"/>
    <w:rsid w:val="008D2A26"/>
    <w:rsid w:val="008E7DF6"/>
    <w:rsid w:val="0091354D"/>
    <w:rsid w:val="00940023"/>
    <w:rsid w:val="0094655E"/>
    <w:rsid w:val="009E6904"/>
    <w:rsid w:val="00A23573"/>
    <w:rsid w:val="00A45B15"/>
    <w:rsid w:val="00A66AB9"/>
    <w:rsid w:val="00A81D5F"/>
    <w:rsid w:val="00B31BDB"/>
    <w:rsid w:val="00BD7730"/>
    <w:rsid w:val="00C16D9C"/>
    <w:rsid w:val="00CB275A"/>
    <w:rsid w:val="00CF5BD5"/>
    <w:rsid w:val="00D02DFB"/>
    <w:rsid w:val="00D0745A"/>
    <w:rsid w:val="00DB660C"/>
    <w:rsid w:val="00EE78AD"/>
    <w:rsid w:val="00F173BA"/>
    <w:rsid w:val="00F96E54"/>
    <w:rsid w:val="00FE60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F946B71"/>
  <w15:docId w15:val="{1A075201-8F3B-43F2-9EE2-2AE2FCFDF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02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0239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02393"/>
  </w:style>
  <w:style w:type="paragraph" w:styleId="a6">
    <w:name w:val="footer"/>
    <w:basedOn w:val="a"/>
    <w:link w:val="a7"/>
    <w:uiPriority w:val="99"/>
    <w:unhideWhenUsed/>
    <w:rsid w:val="0070239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02393"/>
  </w:style>
  <w:style w:type="paragraph" w:styleId="a8">
    <w:name w:val="Balloon Text"/>
    <w:basedOn w:val="a"/>
    <w:link w:val="a9"/>
    <w:uiPriority w:val="99"/>
    <w:semiHidden/>
    <w:unhideWhenUsed/>
    <w:rsid w:val="00A81D5F"/>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A81D5F"/>
    <w:rPr>
      <w:rFonts w:ascii="Tahoma" w:hAnsi="Tahoma" w:cs="Tahoma"/>
      <w:sz w:val="16"/>
      <w:szCs w:val="16"/>
    </w:rPr>
  </w:style>
  <w:style w:type="character" w:styleId="aa">
    <w:name w:val="Hyperlink"/>
    <w:basedOn w:val="a0"/>
    <w:uiPriority w:val="99"/>
    <w:unhideWhenUsed/>
    <w:rsid w:val="008D2A26"/>
    <w:rPr>
      <w:color w:val="0563C1" w:themeColor="hyperlink"/>
      <w:u w:val="single"/>
    </w:rPr>
  </w:style>
  <w:style w:type="character" w:styleId="ab">
    <w:name w:val="Unresolved Mention"/>
    <w:basedOn w:val="a0"/>
    <w:uiPriority w:val="99"/>
    <w:semiHidden/>
    <w:unhideWhenUsed/>
    <w:rsid w:val="008D2A2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ok.ru/group/59369613230259"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zakonpravo.kz/publikacii/"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76</TotalTime>
  <Pages>2</Pages>
  <Words>737</Words>
  <Characters>4202</Characters>
  <Application>Microsoft Office Word</Application>
  <DocSecurity>0</DocSecurity>
  <Lines>35</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Юридическая_контора Закон_и_право</dc:creator>
  <cp:keywords/>
  <dc:description/>
  <cp:lastModifiedBy>Юридическая_контора Закон_и_право</cp:lastModifiedBy>
  <cp:revision>36</cp:revision>
  <cp:lastPrinted>2021-08-17T09:04:00Z</cp:lastPrinted>
  <dcterms:created xsi:type="dcterms:W3CDTF">2021-08-13T09:00:00Z</dcterms:created>
  <dcterms:modified xsi:type="dcterms:W3CDTF">2021-10-14T14:55:00Z</dcterms:modified>
</cp:coreProperties>
</file>