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27AA" w14:textId="1505E1E8" w:rsidR="00B13E45" w:rsidRPr="005533AC" w:rsidRDefault="00B36534" w:rsidP="006F3977">
      <w:pPr>
        <w:jc w:val="center"/>
        <w:rPr>
          <w:rFonts w:ascii="Times New Roman" w:hAnsi="Times New Roman" w:cs="Times New Roman"/>
          <w:b/>
          <w:bCs/>
        </w:rPr>
      </w:pPr>
      <w:r w:rsidRPr="005533AC">
        <w:rPr>
          <w:rFonts w:ascii="Times New Roman" w:hAnsi="Times New Roman" w:cs="Times New Roman"/>
          <w:b/>
          <w:bCs/>
        </w:rPr>
        <w:t>Споры, связанные с вопросами о недействительности договора поставки</w:t>
      </w:r>
      <w:r w:rsidR="006F3977">
        <w:rPr>
          <w:rFonts w:ascii="Times New Roman" w:hAnsi="Times New Roman" w:cs="Times New Roman"/>
          <w:b/>
          <w:bCs/>
          <w:lang w:val="kk-KZ"/>
        </w:rPr>
        <w:t>,</w:t>
      </w:r>
      <w:r w:rsidRPr="005533AC">
        <w:rPr>
          <w:rFonts w:ascii="Times New Roman" w:hAnsi="Times New Roman" w:cs="Times New Roman"/>
          <w:b/>
          <w:bCs/>
        </w:rPr>
        <w:t xml:space="preserve"> никакие доказательства не имеют заранее установленной силы, они подлежат </w:t>
      </w:r>
      <w:proofErr w:type="spellStart"/>
      <w:r w:rsidRPr="005533AC">
        <w:rPr>
          <w:rFonts w:ascii="Times New Roman" w:hAnsi="Times New Roman" w:cs="Times New Roman"/>
          <w:b/>
          <w:bCs/>
        </w:rPr>
        <w:t>оценкев</w:t>
      </w:r>
      <w:proofErr w:type="spellEnd"/>
      <w:r w:rsidRPr="005533AC">
        <w:rPr>
          <w:rFonts w:ascii="Times New Roman" w:hAnsi="Times New Roman" w:cs="Times New Roman"/>
          <w:b/>
          <w:bCs/>
        </w:rPr>
        <w:t xml:space="preserve"> совокупности с другими доказательствами</w:t>
      </w:r>
    </w:p>
    <w:p w14:paraId="7595EAD0" w14:textId="77777777" w:rsidR="00B13E45" w:rsidRPr="00AE44BC" w:rsidRDefault="00B13E45" w:rsidP="00A81D5F">
      <w:pPr>
        <w:jc w:val="both"/>
        <w:rPr>
          <w:rFonts w:ascii="Times New Roman" w:hAnsi="Times New Roman" w:cs="Times New Roman"/>
        </w:rPr>
      </w:pPr>
    </w:p>
    <w:p w14:paraId="4FC4F642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ТОО «К» обратилось в суд с иском к ТОО «П» о признании недействительным договора поставки от 6 ноября 2014 года № 02 и отмене счета-фактуры от 6 ноября 2014 года № 00000000006, мотивируя тем, что между сторонами договор не заключался. Решением специализированного межрайонного экономического суда Южно-Казахстанской области от 27 ноября 2017 года в иске отказано. Постановлением судебной коллегии по гражданским делам </w:t>
      </w:r>
      <w:proofErr w:type="spellStart"/>
      <w:r w:rsidRPr="00AE44BC">
        <w:rPr>
          <w:rFonts w:ascii="Times New Roman" w:hAnsi="Times New Roman" w:cs="Times New Roman"/>
        </w:rPr>
        <w:t>ЮжноКазахстанского</w:t>
      </w:r>
      <w:proofErr w:type="spellEnd"/>
      <w:r w:rsidRPr="00AE44BC">
        <w:rPr>
          <w:rFonts w:ascii="Times New Roman" w:hAnsi="Times New Roman" w:cs="Times New Roman"/>
        </w:rPr>
        <w:t xml:space="preserve"> областного суда от 20 февраля 2018 года решение суда оставлено без изменения. </w:t>
      </w:r>
    </w:p>
    <w:p w14:paraId="687DAA0F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Судебная коллегия по гражданским делам Верховного Суда отменила судебные акты местных судов и прекратила производство по делу в части отмены счет-фактуры № 00000000006 от 6 ноября 2014 года. Вынесено новое решение в части отказа в иске ТОО «К» и признан недействительным договор поставки от 6 ноября 2014 года № 02, заключенный между ТОО «К» и ТОО «П». Ходатайство ТОО «К» удовлетворено частично по следующим основаниям. </w:t>
      </w:r>
    </w:p>
    <w:p w14:paraId="59A0BC10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Из материалов дела следует, что 6 ноября 2014 года между сторонами был заключен договор поставки № 02 на поставку и переработку семечек подсолнуха в количестве 160 000 тонн. Согласно заключению эксперта от 23 ноября 2017 года № 4192 подписи от имени К., имеющиеся в поступивших на исследование следующих документах: 1) договор № 02 от 6 ноября 2014 года; 2) приложение № 1 к договору № 2 от 6 ноября 2014 года; 3) счет-фактура № 00000000006 от 6 ноября 2014 года; 4) расходная накладная № 6 от 6 ноября 2014 года, исполнены с применением приемов предварительной технической подготовки, такими как: копирование подписи на просвет; воспроизведение подписи передавливанием по штрихам подлинной подписи; воспроизведение подписи путем карандашной подготовки с последующей обводкой. </w:t>
      </w:r>
    </w:p>
    <w:p w14:paraId="04567152" w14:textId="096EEC19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Между тем данные обстоятельства ставят под сомнение заключение договора, однако местные суды пришли к выводу, что договор скреплен </w:t>
      </w:r>
      <w:hyperlink r:id="rId6" w:history="1">
        <w:r w:rsidRPr="00B324C5">
          <w:rPr>
            <w:rStyle w:val="aa"/>
            <w:rFonts w:ascii="Times New Roman" w:hAnsi="Times New Roman" w:cs="Times New Roman"/>
          </w:rPr>
          <w:t>печатью истца, поэтому отсутствуют основания для</w:t>
        </w:r>
      </w:hyperlink>
      <w:r w:rsidRPr="00AE44BC">
        <w:rPr>
          <w:rFonts w:ascii="Times New Roman" w:hAnsi="Times New Roman" w:cs="Times New Roman"/>
        </w:rPr>
        <w:t xml:space="preserve"> признания его недействительным. В соответствии со статьей 72 Гражданского процессуального кодекса Республики Казахстан (далее – ГПК) каждая сторона должна доказать те обстоятельства, на которые она ссылается как на основания своих требований и возражений. </w:t>
      </w:r>
    </w:p>
    <w:p w14:paraId="335A897A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В соответствии со статьей 147 Гражданского кодекса Республики Казахстан (далее – ГК) сделками признаются действия граждан и юридических лиц, направленные на установление, изменение или прекращение гражданских прав и обязанностей. Для её совершения в силу пункта 3 статьи 148 ГК необходимо выражение согласованной воли двух сторон. Согласно пункту 2 статьи 157 ГК сделка признается недействительной при нарушении требований, предъявляемых к форме, содержанию и участникам сделки, а также к свободе их волеизъявления по основаниям, установленным ГК или иными законодательными актами. В силу статей 16 и 77 ГПК никакие доказательства не имеют заранее установленной силы, они подлежат оценке в совокупности с другими доказательствами. </w:t>
      </w:r>
    </w:p>
    <w:p w14:paraId="729DD01B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Статьями 41 и 53 Закона Республики Казахстан «О товариществах с ограниченной и дополнительной ответственностью» предусмотрено, что директор товарищества, являясь единоличным исполнительным органом, выступает от имени юридического лица без доверенности в гражданских отношениях. Суды установили, что директор ТОО «К» не подписывал договор и счет-фактуру, его подписи сфальсифицированы. Оба предприятия: и ТОО «К», и ТОО «П» – обслуживал один и тот же бухгалтер, у которого имелся доступ к печатям сторон. Бухгалтер данных товариществ М. в силу возлагаемых на нее обязанностей является материально ответственным лицом. </w:t>
      </w:r>
    </w:p>
    <w:p w14:paraId="247CBF15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Согласно пункту </w:t>
      </w:r>
      <w:proofErr w:type="gramStart"/>
      <w:r w:rsidRPr="00AE44BC">
        <w:rPr>
          <w:rFonts w:ascii="Times New Roman" w:hAnsi="Times New Roman" w:cs="Times New Roman"/>
        </w:rPr>
        <w:t>4-1</w:t>
      </w:r>
      <w:proofErr w:type="gramEnd"/>
      <w:r w:rsidRPr="00AE44BC">
        <w:rPr>
          <w:rFonts w:ascii="Times New Roman" w:hAnsi="Times New Roman" w:cs="Times New Roman"/>
        </w:rPr>
        <w:t xml:space="preserve"> статьи 21 Закона Республики Казахстан «О платежах и переводах денег», если сумма сделки между юридическими лицами превышает 1000 месячных расчетных показателей (далее – МРП), то оплата осуществляется в безналичном расчете. Установлено, что ТОО </w:t>
      </w:r>
      <w:proofErr w:type="gramStart"/>
      <w:r w:rsidRPr="00AE44BC">
        <w:rPr>
          <w:rFonts w:ascii="Times New Roman" w:hAnsi="Times New Roman" w:cs="Times New Roman"/>
        </w:rPr>
        <w:t xml:space="preserve">«К» согласно </w:t>
      </w:r>
      <w:r w:rsidRPr="00AE44BC">
        <w:rPr>
          <w:rFonts w:ascii="Times New Roman" w:hAnsi="Times New Roman" w:cs="Times New Roman"/>
        </w:rPr>
        <w:lastRenderedPageBreak/>
        <w:t>счет-фактуре</w:t>
      </w:r>
      <w:proofErr w:type="gramEnd"/>
      <w:r w:rsidRPr="00AE44BC">
        <w:rPr>
          <w:rFonts w:ascii="Times New Roman" w:hAnsi="Times New Roman" w:cs="Times New Roman"/>
        </w:rPr>
        <w:t xml:space="preserve"> осуществляло поставку семечек подсолнуха и чистку с оборудованием. Сумма оспариваемого договора составляет 20 миллионов тенге, то есть превышает 1000 МРП. Однако в пункте 2.5 договора указано о наличной оплате </w:t>
      </w:r>
      <w:proofErr w:type="gramStart"/>
      <w:r w:rsidRPr="00AE44BC">
        <w:rPr>
          <w:rFonts w:ascii="Times New Roman" w:hAnsi="Times New Roman" w:cs="Times New Roman"/>
        </w:rPr>
        <w:t>за поставляемый товар</w:t>
      </w:r>
      <w:proofErr w:type="gramEnd"/>
      <w:r w:rsidRPr="00AE44BC">
        <w:rPr>
          <w:rFonts w:ascii="Times New Roman" w:hAnsi="Times New Roman" w:cs="Times New Roman"/>
        </w:rPr>
        <w:t xml:space="preserve">. </w:t>
      </w:r>
    </w:p>
    <w:p w14:paraId="0E059B0E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Таким образом, заслуживают внимание доводы заявителя о том, что все расчеты с контрагентами заключаются в безналичном порядке, поэтому зная, что юридическое лицо может быть привлечено к административной ответственности, ТОО «К» не стало бы указывать вышеназванный пункт договора при подписании сделки. </w:t>
      </w:r>
    </w:p>
    <w:p w14:paraId="6F0FF8EB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Также судом установлено, что ТОО «К» купило и завезло в Казахстан оборудование для чистки и сушки семян только в 2016 году. Следовательно, не имея в 2014 году соответствующего оборудования, ТОО «К» не могло взять на себя ответственность по очистке и сушке семян подсолнуха в таком количестве, так как не располагало необходимым оборудованием. Изложенные обстоятельства свидетельствуют о несостоятельности выводов местных судов. Кроме того, ответчик не представил судам доказательства реализации товара в количестве 160 000 тонн. Указанное количество приравнивается 3200 товарным вагонам, что составляет около сорока железнодорожных составов и объемы урожая за несколько лет. Несмотря на это, местные суды не усомнились в достоверности реализации, а также в получении указанными предприятиями товара. </w:t>
      </w:r>
    </w:p>
    <w:p w14:paraId="27984191" w14:textId="77777777" w:rsidR="005533A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В соответствии с подпунктом 1) статьи 277 ГПК суд прекращает производство по делу, если дело не подлежит рассмотрению в порядке гражданского судопроизводства. Установлено, что истец требует отменить счёт-фактуру с указанием признания недействительным конкретного договора поставки, вытекающего из обязательственных правоотношений между сторонами. </w:t>
      </w:r>
    </w:p>
    <w:p w14:paraId="00379CCD" w14:textId="6C3D789B" w:rsidR="00A81D5F" w:rsidRPr="00AE44BC" w:rsidRDefault="00B13E45" w:rsidP="005533AC">
      <w:pPr>
        <w:ind w:firstLine="720"/>
        <w:jc w:val="both"/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 xml:space="preserve">Сама счёт-фактура не содержит признаков сделки, является всего лишь документом бухгалтерского учёта, доказательством по делу, оспаривание которого в судебном порядке не предусмотрено законодательством, сама </w:t>
      </w:r>
      <w:hyperlink r:id="rId7" w:history="1">
        <w:r w:rsidRPr="005533AC">
          <w:rPr>
            <w:rStyle w:val="aa"/>
            <w:rFonts w:ascii="Times New Roman" w:hAnsi="Times New Roman" w:cs="Times New Roman"/>
          </w:rPr>
          <w:t>по себе не порождает прав и обязанностей, не разрешает по</w:t>
        </w:r>
      </w:hyperlink>
      <w:r w:rsidRPr="00AE44BC">
        <w:rPr>
          <w:rFonts w:ascii="Times New Roman" w:hAnsi="Times New Roman" w:cs="Times New Roman"/>
        </w:rPr>
        <w:t xml:space="preserve"> существу вопросы, касающиеся чьих-либо прав, свобод и интересов и не возлагает на кого-либо какие-либо обязанности. Из вышеизложенного следует, что иск в части отмены счёт-фактуры не подлежит рассмотрению в порядке гражданского судопроизводства.</w:t>
      </w:r>
      <w:r w:rsidR="00CF5BD5" w:rsidRPr="00AE44BC">
        <w:rPr>
          <w:rFonts w:ascii="Times New Roman" w:hAnsi="Times New Roman" w:cs="Times New Roman"/>
        </w:rPr>
        <w:t xml:space="preserve"> </w:t>
      </w:r>
    </w:p>
    <w:p w14:paraId="7EA7FA65" w14:textId="0D3DEF47" w:rsidR="00F173BA" w:rsidRPr="00AE44BC" w:rsidRDefault="00F173BA" w:rsidP="002570B0">
      <w:pPr>
        <w:rPr>
          <w:rFonts w:ascii="Times New Roman" w:hAnsi="Times New Roman" w:cs="Times New Roman"/>
        </w:rPr>
      </w:pPr>
    </w:p>
    <w:p w14:paraId="1C113091" w14:textId="5A80DFE0" w:rsidR="00F173BA" w:rsidRPr="00AE44BC" w:rsidRDefault="00F173BA" w:rsidP="002570B0">
      <w:pPr>
        <w:rPr>
          <w:rFonts w:ascii="Times New Roman" w:hAnsi="Times New Roman" w:cs="Times New Roman"/>
        </w:rPr>
      </w:pPr>
    </w:p>
    <w:p w14:paraId="1D196CDE" w14:textId="737247FA" w:rsidR="00F173BA" w:rsidRPr="00AE44BC" w:rsidRDefault="00F173BA" w:rsidP="002570B0">
      <w:pPr>
        <w:rPr>
          <w:rFonts w:ascii="Times New Roman" w:hAnsi="Times New Roman" w:cs="Times New Roman"/>
        </w:rPr>
      </w:pPr>
    </w:p>
    <w:p w14:paraId="02403F08" w14:textId="75BEB719" w:rsidR="00F173BA" w:rsidRPr="00AE44BC" w:rsidRDefault="00F173BA" w:rsidP="002570B0">
      <w:pPr>
        <w:rPr>
          <w:rFonts w:ascii="Times New Roman" w:hAnsi="Times New Roman" w:cs="Times New Roman"/>
        </w:rPr>
      </w:pPr>
    </w:p>
    <w:p w14:paraId="308325D5" w14:textId="324F2E94" w:rsidR="00F173BA" w:rsidRPr="00AE44BC" w:rsidRDefault="00F173BA" w:rsidP="002570B0">
      <w:pPr>
        <w:rPr>
          <w:rFonts w:ascii="Times New Roman" w:hAnsi="Times New Roman" w:cs="Times New Roman"/>
        </w:rPr>
      </w:pPr>
    </w:p>
    <w:p w14:paraId="22BAA135" w14:textId="6CC745FE" w:rsidR="00F173BA" w:rsidRPr="00AE44BC" w:rsidRDefault="00F173BA" w:rsidP="002570B0">
      <w:pPr>
        <w:rPr>
          <w:rFonts w:ascii="Times New Roman" w:hAnsi="Times New Roman" w:cs="Times New Roman"/>
        </w:rPr>
      </w:pPr>
    </w:p>
    <w:p w14:paraId="33D51603" w14:textId="10BA4AEF" w:rsidR="00F173BA" w:rsidRPr="00AE44BC" w:rsidRDefault="00F173BA" w:rsidP="002570B0">
      <w:pPr>
        <w:rPr>
          <w:rFonts w:ascii="Times New Roman" w:hAnsi="Times New Roman" w:cs="Times New Roman"/>
        </w:rPr>
      </w:pPr>
    </w:p>
    <w:p w14:paraId="55D95E22" w14:textId="0EFD17BF" w:rsidR="00F173BA" w:rsidRPr="00AE44BC" w:rsidRDefault="00F173BA" w:rsidP="002570B0">
      <w:pPr>
        <w:rPr>
          <w:rFonts w:ascii="Times New Roman" w:hAnsi="Times New Roman" w:cs="Times New Roman"/>
        </w:rPr>
      </w:pPr>
    </w:p>
    <w:p w14:paraId="1E84A240" w14:textId="61513D00" w:rsidR="00F173BA" w:rsidRPr="00AE44BC" w:rsidRDefault="00F173BA" w:rsidP="002570B0">
      <w:pPr>
        <w:rPr>
          <w:rFonts w:ascii="Times New Roman" w:hAnsi="Times New Roman" w:cs="Times New Roman"/>
        </w:rPr>
      </w:pPr>
    </w:p>
    <w:p w14:paraId="049E1B58" w14:textId="408BB97D" w:rsidR="00F173BA" w:rsidRPr="00AE44BC" w:rsidRDefault="00F173BA" w:rsidP="002570B0">
      <w:pPr>
        <w:rPr>
          <w:rFonts w:ascii="Times New Roman" w:hAnsi="Times New Roman" w:cs="Times New Roman"/>
        </w:rPr>
      </w:pPr>
    </w:p>
    <w:p w14:paraId="3F19C72F" w14:textId="49CAEBA5" w:rsidR="00F173BA" w:rsidRPr="00AE44BC" w:rsidRDefault="00F173BA" w:rsidP="00F173BA">
      <w:pPr>
        <w:tabs>
          <w:tab w:val="left" w:pos="6948"/>
        </w:tabs>
        <w:rPr>
          <w:rFonts w:ascii="Times New Roman" w:hAnsi="Times New Roman" w:cs="Times New Roman"/>
        </w:rPr>
      </w:pPr>
      <w:r w:rsidRPr="00AE44BC">
        <w:rPr>
          <w:rFonts w:ascii="Times New Roman" w:hAnsi="Times New Roman" w:cs="Times New Roman"/>
        </w:rPr>
        <w:tab/>
      </w:r>
    </w:p>
    <w:sectPr w:rsidR="00F173BA" w:rsidRPr="00AE44B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6C52" w14:textId="77777777" w:rsidR="00CD7AF9" w:rsidRDefault="00CD7AF9" w:rsidP="00702393">
      <w:pPr>
        <w:spacing w:after="0" w:line="240" w:lineRule="auto"/>
      </w:pPr>
      <w:r>
        <w:separator/>
      </w:r>
    </w:p>
  </w:endnote>
  <w:endnote w:type="continuationSeparator" w:id="0">
    <w:p w14:paraId="2271B895" w14:textId="77777777" w:rsidR="00CD7AF9" w:rsidRDefault="00CD7AF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AAE1" w14:textId="77777777" w:rsidR="00CD7AF9" w:rsidRDefault="00CD7AF9" w:rsidP="00702393">
      <w:pPr>
        <w:spacing w:after="0" w:line="240" w:lineRule="auto"/>
      </w:pPr>
      <w:r>
        <w:separator/>
      </w:r>
    </w:p>
  </w:footnote>
  <w:footnote w:type="continuationSeparator" w:id="0">
    <w:p w14:paraId="11627A8B" w14:textId="77777777" w:rsidR="00CD7AF9" w:rsidRDefault="00CD7AF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533AC"/>
    <w:rsid w:val="005A3B78"/>
    <w:rsid w:val="006B0A4D"/>
    <w:rsid w:val="006E2D0A"/>
    <w:rsid w:val="006F3977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E44BC"/>
    <w:rsid w:val="00B13E45"/>
    <w:rsid w:val="00B31BDB"/>
    <w:rsid w:val="00B324C5"/>
    <w:rsid w:val="00B36534"/>
    <w:rsid w:val="00BD7730"/>
    <w:rsid w:val="00C16D9C"/>
    <w:rsid w:val="00CB275A"/>
    <w:rsid w:val="00CD7AF9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533A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53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2021-11-30T18:37:00Z</dcterms:modified>
</cp:coreProperties>
</file>