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6A253F77" w:rsidR="00A81D5F" w:rsidRPr="001830E6" w:rsidRDefault="00570C7A" w:rsidP="001830E6">
      <w:pPr>
        <w:jc w:val="center"/>
        <w:rPr>
          <w:rFonts w:ascii="Times New Roman" w:hAnsi="Times New Roman" w:cs="Times New Roman"/>
          <w:b/>
          <w:bCs/>
          <w:sz w:val="24"/>
          <w:szCs w:val="24"/>
        </w:rPr>
      </w:pPr>
      <w:r w:rsidRPr="001830E6">
        <w:rPr>
          <w:rFonts w:ascii="Times New Roman" w:hAnsi="Times New Roman" w:cs="Times New Roman"/>
          <w:b/>
          <w:bCs/>
          <w:sz w:val="24"/>
          <w:szCs w:val="24"/>
        </w:rPr>
        <w:t xml:space="preserve">Споры о праве наследования </w:t>
      </w:r>
      <w:r w:rsidR="002B7170">
        <w:rPr>
          <w:rFonts w:ascii="Times New Roman" w:hAnsi="Times New Roman" w:cs="Times New Roman"/>
          <w:b/>
          <w:bCs/>
          <w:sz w:val="24"/>
          <w:szCs w:val="24"/>
          <w:lang w:val="kk-KZ"/>
        </w:rPr>
        <w:t xml:space="preserve">- </w:t>
      </w:r>
      <w:r w:rsidRPr="001830E6">
        <w:rPr>
          <w:rFonts w:ascii="Times New Roman" w:hAnsi="Times New Roman" w:cs="Times New Roman"/>
          <w:b/>
          <w:bCs/>
          <w:sz w:val="24"/>
          <w:szCs w:val="24"/>
        </w:rPr>
        <w:t>наследник вправе отказаться от наследства в течение шести месяцев со дня, когда он узнал или должен был узнать о своем призвании к наследованию</w:t>
      </w:r>
    </w:p>
    <w:p w14:paraId="7EA7FA65" w14:textId="0D3DEF47" w:rsidR="00F173BA" w:rsidRPr="001830E6" w:rsidRDefault="00F173BA" w:rsidP="001830E6">
      <w:pPr>
        <w:jc w:val="both"/>
        <w:rPr>
          <w:rFonts w:ascii="Times New Roman" w:hAnsi="Times New Roman" w:cs="Times New Roman"/>
          <w:sz w:val="24"/>
          <w:szCs w:val="24"/>
        </w:rPr>
      </w:pPr>
    </w:p>
    <w:p w14:paraId="009EF987" w14:textId="05CF477D" w:rsidR="001830E6" w:rsidRDefault="008F65BE" w:rsidP="001830E6">
      <w:pPr>
        <w:ind w:firstLine="720"/>
        <w:jc w:val="both"/>
        <w:rPr>
          <w:rFonts w:ascii="Times New Roman" w:hAnsi="Times New Roman" w:cs="Times New Roman"/>
          <w:sz w:val="24"/>
          <w:szCs w:val="24"/>
        </w:rPr>
      </w:pPr>
      <w:r w:rsidRPr="001830E6">
        <w:rPr>
          <w:rFonts w:ascii="Times New Roman" w:hAnsi="Times New Roman" w:cs="Times New Roman"/>
          <w:sz w:val="24"/>
          <w:szCs w:val="24"/>
        </w:rPr>
        <w:t xml:space="preserve">М. обратилась в суд с иском к Ж., Г., </w:t>
      </w:r>
      <w:proofErr w:type="gramStart"/>
      <w:r w:rsidRPr="001830E6">
        <w:rPr>
          <w:rFonts w:ascii="Times New Roman" w:hAnsi="Times New Roman" w:cs="Times New Roman"/>
          <w:sz w:val="24"/>
          <w:szCs w:val="24"/>
        </w:rPr>
        <w:t>А.,.</w:t>
      </w:r>
      <w:proofErr w:type="gramEnd"/>
      <w:r w:rsidRPr="001830E6">
        <w:rPr>
          <w:rFonts w:ascii="Times New Roman" w:hAnsi="Times New Roman" w:cs="Times New Roman"/>
          <w:sz w:val="24"/>
          <w:szCs w:val="24"/>
        </w:rPr>
        <w:t xml:space="preserve">В., Б., Э. о признании свидетельств о праве на наследство и дополнения к свидетельству о праве на наследство недействительными. Решением Медеуского районного суда города Алматы от 24 февраля 2020 года иск удовлетворен. Постановлением судебной коллегии по гражданским делам Алматинского городского суда от 1 июня 2020 года решение суда оставлено без изменения. Судебная коллегия по гражданским делам </w:t>
      </w:r>
      <w:hyperlink r:id="rId6" w:history="1">
        <w:r w:rsidRPr="003929D0">
          <w:rPr>
            <w:rStyle w:val="aa"/>
            <w:rFonts w:ascii="Times New Roman" w:hAnsi="Times New Roman" w:cs="Times New Roman"/>
            <w:sz w:val="24"/>
            <w:szCs w:val="24"/>
          </w:rPr>
          <w:t>Верховного Суда отменила судебные акты местных судов и</w:t>
        </w:r>
      </w:hyperlink>
      <w:r w:rsidRPr="001830E6">
        <w:rPr>
          <w:rFonts w:ascii="Times New Roman" w:hAnsi="Times New Roman" w:cs="Times New Roman"/>
          <w:sz w:val="24"/>
          <w:szCs w:val="24"/>
        </w:rPr>
        <w:t xml:space="preserve"> по делу вынесла новое решение об отказе в удовлетворении иска М. к Ж., Г., А., В., Б., Э. о признании свидетельств о праве на наследство и дополнения к свидетельству о праве на наследство недействительными по следующим основаниям. </w:t>
      </w:r>
    </w:p>
    <w:p w14:paraId="783D5794" w14:textId="77777777" w:rsidR="001830E6" w:rsidRDefault="008F65BE" w:rsidP="001830E6">
      <w:pPr>
        <w:ind w:firstLine="720"/>
        <w:jc w:val="both"/>
        <w:rPr>
          <w:rFonts w:ascii="Times New Roman" w:hAnsi="Times New Roman" w:cs="Times New Roman"/>
          <w:sz w:val="24"/>
          <w:szCs w:val="24"/>
        </w:rPr>
      </w:pPr>
      <w:r w:rsidRPr="001830E6">
        <w:rPr>
          <w:rFonts w:ascii="Times New Roman" w:hAnsi="Times New Roman" w:cs="Times New Roman"/>
          <w:sz w:val="24"/>
          <w:szCs w:val="24"/>
        </w:rPr>
        <w:t xml:space="preserve">При рассмотрении дела такие нарушения местными судами допущены. Из материалов дела следует, что 21 июля 2005 года умерла Ш., мать истца и ответчиков. При жизни Ш. завещала свое имущество одной из дочерей - Э. Завещание удостоверено нотариусом А. 4 июня 2005 года и зарегистрировано в реестре за </w:t>
      </w:r>
      <w:proofErr w:type="gramStart"/>
      <w:r w:rsidRPr="001830E6">
        <w:rPr>
          <w:rFonts w:ascii="Times New Roman" w:hAnsi="Times New Roman" w:cs="Times New Roman"/>
          <w:sz w:val="24"/>
          <w:szCs w:val="24"/>
        </w:rPr>
        <w:t>№ 9-9000</w:t>
      </w:r>
      <w:proofErr w:type="gramEnd"/>
      <w:r w:rsidRPr="001830E6">
        <w:rPr>
          <w:rFonts w:ascii="Times New Roman" w:hAnsi="Times New Roman" w:cs="Times New Roman"/>
          <w:sz w:val="24"/>
          <w:szCs w:val="24"/>
        </w:rPr>
        <w:t xml:space="preserve">. После открытия наследства 30 декабря 2005 года Э. отказалась от наследования по завещанию в пользу сестры - Ж., Т. отказался от обязательной доли в наследстве, открывшемся после смерти супруги. 5 мая 2006 года умер Т., который при жизни также завещал все свое имущество Э. Завещание удостоверено нотариусом А. 4 июня 2005 года и зарегистрировано в реестре за № 9-9001 3 ноября 2006 года Э. отказалась от наследства в пользу Ж. Согласно свидетельствам о праве на наследство по закону от 5 апреля 2006 года реестр 1-483, 1-485, 1-487, 1-491, 1-493, от 25 апреля 2007 года реестр 2-551, от 18 мая 2007 года реестр 2-619, 2-620, от 19 мая 2007 года реестр 2-553, дополнению к свидетельству о праве на наследство по закону от 19 мая 2007 года реестр 2-555, все движимое и недвижимое имущество наследодателей Ж. унаследовано Ж. Суд первой инстанции, удовлетворяя требования истца о признании оспариваемых свидетельств недействительными, мотивировал свои выводы тем, что на момент выдачи свидетельств о праве на наследство вопрос о наследственной доле истца не был разрешен, при этом истец от своей доли в наследстве после смерти наследодателей не отказывалась. </w:t>
      </w:r>
    </w:p>
    <w:p w14:paraId="465CCE42" w14:textId="77777777" w:rsidR="001830E6" w:rsidRDefault="008F65BE" w:rsidP="001830E6">
      <w:pPr>
        <w:ind w:firstLine="720"/>
        <w:jc w:val="both"/>
        <w:rPr>
          <w:rFonts w:ascii="Times New Roman" w:hAnsi="Times New Roman" w:cs="Times New Roman"/>
          <w:sz w:val="24"/>
          <w:szCs w:val="24"/>
        </w:rPr>
      </w:pPr>
      <w:r w:rsidRPr="001830E6">
        <w:rPr>
          <w:rFonts w:ascii="Times New Roman" w:hAnsi="Times New Roman" w:cs="Times New Roman"/>
          <w:sz w:val="24"/>
          <w:szCs w:val="24"/>
        </w:rPr>
        <w:t xml:space="preserve">Апелляционная инстанция согласилась с выводами суда первой инстанции, указав, что ответчики нарушили права истца, безосновательно распорядившись ее долей. Вместе с тем с выводами местных судов нельзя согласиться, поскольку они не соответствуют установленным обстоятельствам дела и основаны на неправильном применении норм материального права. Согласно статье 1039 Гражданского кодекса Республики Казахстан (далее – ГК) наследование осуществляется по завещанию и (или) по закону. Наследование по закону имеет место, когда завещание отсутствует либо определяет судьбу не всего наследства, а также в иных случаях, установленных настоящим Кодексом. </w:t>
      </w:r>
    </w:p>
    <w:p w14:paraId="49C38FD4" w14:textId="77777777" w:rsidR="001830E6" w:rsidRDefault="008F65BE" w:rsidP="001830E6">
      <w:pPr>
        <w:ind w:firstLine="720"/>
        <w:jc w:val="both"/>
        <w:rPr>
          <w:rFonts w:ascii="Times New Roman" w:hAnsi="Times New Roman" w:cs="Times New Roman"/>
          <w:sz w:val="24"/>
          <w:szCs w:val="24"/>
        </w:rPr>
      </w:pPr>
      <w:r w:rsidRPr="001830E6">
        <w:rPr>
          <w:rFonts w:ascii="Times New Roman" w:hAnsi="Times New Roman" w:cs="Times New Roman"/>
          <w:sz w:val="24"/>
          <w:szCs w:val="24"/>
        </w:rPr>
        <w:t xml:space="preserve">Согласно пунктам 1, 2, 5 статьи 1074 ГК в редакции, действовавшей на момент открытия наследства, наследник вправе отказаться от наследства в течение шести месяцев со дня, когда он узнал или должен был узнать о своем призвании к наследованию. При наличии уважительных причин этот срок может быть продлен судом, однако, не более чем на два месяца. Отказ от наследства совершается подачей наследником заявления нотариусу по месту открытия наследства. При отказе от наследства наследник вправе указать, что он отказывается от него в пользу других лиц из числа наследников по завещанию или по закону любой очереди. </w:t>
      </w:r>
    </w:p>
    <w:p w14:paraId="148B2087" w14:textId="77777777" w:rsidR="001830E6" w:rsidRDefault="008F65BE" w:rsidP="001830E6">
      <w:pPr>
        <w:ind w:firstLine="720"/>
        <w:jc w:val="both"/>
        <w:rPr>
          <w:rFonts w:ascii="Times New Roman" w:hAnsi="Times New Roman" w:cs="Times New Roman"/>
          <w:sz w:val="24"/>
          <w:szCs w:val="24"/>
        </w:rPr>
      </w:pPr>
      <w:r w:rsidRPr="001830E6">
        <w:rPr>
          <w:rFonts w:ascii="Times New Roman" w:hAnsi="Times New Roman" w:cs="Times New Roman"/>
          <w:sz w:val="24"/>
          <w:szCs w:val="24"/>
        </w:rPr>
        <w:lastRenderedPageBreak/>
        <w:t xml:space="preserve">По делу установлено, что единственным наследником по завещанию после смерти Ш. являлась Э., которая в пределах установленного законом срока отказалась от наследства в пользу Ж. В пользу Ж. отказался от наследования обязательной доли переживший супруг Ш. - Т. После смерти отца Э., будучи наследницей по завещанию, вновь отказалась от наследства в пользу Ж. Согласно требованиям пункта 1 статьи 1069 ГК, независимо от содержания завещания, не менее половины доли наследства, которая причиталась бы каждому из них при наследовании по закону (обязательная доля), наследуют несовершеннолетние или нетрудоспособные дети наследодателя, а также его нетрудоспособные супруг и родители. Других наследников, имеющих обязательную долю в наследстве, открывшемся после смерти Т., не имелось, в связи с чем оспариваемые свидетельства обоснованно выданы единственному законному наследнику Ж. </w:t>
      </w:r>
    </w:p>
    <w:p w14:paraId="1C113091" w14:textId="4FACB073" w:rsidR="00F173BA" w:rsidRPr="001830E6" w:rsidRDefault="008F65BE" w:rsidP="001830E6">
      <w:pPr>
        <w:ind w:firstLine="720"/>
        <w:jc w:val="both"/>
        <w:rPr>
          <w:rFonts w:ascii="Times New Roman" w:hAnsi="Times New Roman" w:cs="Times New Roman"/>
          <w:sz w:val="24"/>
          <w:szCs w:val="24"/>
        </w:rPr>
      </w:pPr>
      <w:r w:rsidRPr="001830E6">
        <w:rPr>
          <w:rFonts w:ascii="Times New Roman" w:hAnsi="Times New Roman" w:cs="Times New Roman"/>
          <w:sz w:val="24"/>
          <w:szCs w:val="24"/>
        </w:rPr>
        <w:t xml:space="preserve">Принимая во внимание, что М. доказательств, подтверждающих ее право на обязательную долю в наследстве, </w:t>
      </w:r>
      <w:hyperlink r:id="rId7" w:history="1">
        <w:r w:rsidRPr="001830E6">
          <w:rPr>
            <w:rStyle w:val="aa"/>
            <w:rFonts w:ascii="Times New Roman" w:hAnsi="Times New Roman" w:cs="Times New Roman"/>
            <w:sz w:val="24"/>
            <w:szCs w:val="24"/>
          </w:rPr>
          <w:t>открывшемся после смерти ее родителей, суду не</w:t>
        </w:r>
      </w:hyperlink>
      <w:r w:rsidRPr="001830E6">
        <w:rPr>
          <w:rFonts w:ascii="Times New Roman" w:hAnsi="Times New Roman" w:cs="Times New Roman"/>
          <w:sz w:val="24"/>
          <w:szCs w:val="24"/>
        </w:rPr>
        <w:t xml:space="preserve"> представлено, ее права оспариваемыми свидетельствами не нарушены. Оба родителя право распоряжения своим имуществом после их смерти оставили за одной из дочерей – Э., которая распорядилась им в пользу Ж. Завещания, составленные Ш., Т.. в пользу Э., не оспорены, в связи с чем истец не вправе требовать признания недействительными свидетельства о праве на наследство, выданные вследствие исполнения завещаний.</w:t>
      </w:r>
    </w:p>
    <w:p w14:paraId="1D196CDE" w14:textId="737247FA" w:rsidR="00F173BA" w:rsidRPr="001830E6" w:rsidRDefault="00F173BA" w:rsidP="001830E6">
      <w:pPr>
        <w:jc w:val="both"/>
        <w:rPr>
          <w:rFonts w:ascii="Times New Roman" w:hAnsi="Times New Roman" w:cs="Times New Roman"/>
          <w:sz w:val="24"/>
          <w:szCs w:val="24"/>
        </w:rPr>
      </w:pPr>
    </w:p>
    <w:p w14:paraId="02403F08" w14:textId="75BEB719" w:rsidR="00F173BA" w:rsidRPr="001830E6" w:rsidRDefault="00F173BA" w:rsidP="001830E6">
      <w:pPr>
        <w:jc w:val="both"/>
        <w:rPr>
          <w:rFonts w:ascii="Times New Roman" w:hAnsi="Times New Roman" w:cs="Times New Roman"/>
          <w:sz w:val="24"/>
          <w:szCs w:val="24"/>
        </w:rPr>
      </w:pPr>
    </w:p>
    <w:p w14:paraId="308325D5" w14:textId="324F2E94" w:rsidR="00F173BA" w:rsidRPr="001830E6" w:rsidRDefault="00F173BA" w:rsidP="001830E6">
      <w:pPr>
        <w:jc w:val="both"/>
        <w:rPr>
          <w:rFonts w:ascii="Times New Roman" w:hAnsi="Times New Roman" w:cs="Times New Roman"/>
          <w:sz w:val="24"/>
          <w:szCs w:val="24"/>
        </w:rPr>
      </w:pPr>
    </w:p>
    <w:p w14:paraId="22BAA135" w14:textId="6CC745FE" w:rsidR="00F173BA" w:rsidRPr="001830E6" w:rsidRDefault="00F173BA" w:rsidP="001830E6">
      <w:pPr>
        <w:jc w:val="both"/>
        <w:rPr>
          <w:rFonts w:ascii="Times New Roman" w:hAnsi="Times New Roman" w:cs="Times New Roman"/>
          <w:sz w:val="24"/>
          <w:szCs w:val="24"/>
        </w:rPr>
      </w:pPr>
    </w:p>
    <w:p w14:paraId="33D51603" w14:textId="10BA4AEF" w:rsidR="00F173BA" w:rsidRPr="001830E6" w:rsidRDefault="00F173BA" w:rsidP="001830E6">
      <w:pPr>
        <w:jc w:val="both"/>
        <w:rPr>
          <w:rFonts w:ascii="Times New Roman" w:hAnsi="Times New Roman" w:cs="Times New Roman"/>
          <w:sz w:val="24"/>
          <w:szCs w:val="24"/>
        </w:rPr>
      </w:pPr>
    </w:p>
    <w:p w14:paraId="55D95E22" w14:textId="0EFD17BF" w:rsidR="00F173BA" w:rsidRPr="001830E6" w:rsidRDefault="00F173BA" w:rsidP="001830E6">
      <w:pPr>
        <w:jc w:val="both"/>
        <w:rPr>
          <w:rFonts w:ascii="Times New Roman" w:hAnsi="Times New Roman" w:cs="Times New Roman"/>
          <w:sz w:val="24"/>
          <w:szCs w:val="24"/>
        </w:rPr>
      </w:pPr>
    </w:p>
    <w:p w14:paraId="1E84A240" w14:textId="61513D00" w:rsidR="00F173BA" w:rsidRPr="001830E6" w:rsidRDefault="00F173BA" w:rsidP="001830E6">
      <w:pPr>
        <w:jc w:val="both"/>
        <w:rPr>
          <w:rFonts w:ascii="Times New Roman" w:hAnsi="Times New Roman" w:cs="Times New Roman"/>
          <w:sz w:val="24"/>
          <w:szCs w:val="24"/>
        </w:rPr>
      </w:pPr>
    </w:p>
    <w:p w14:paraId="049E1B58" w14:textId="408BB97D" w:rsidR="00F173BA" w:rsidRPr="001830E6" w:rsidRDefault="00F173BA" w:rsidP="001830E6">
      <w:pPr>
        <w:jc w:val="both"/>
        <w:rPr>
          <w:rFonts w:ascii="Times New Roman" w:hAnsi="Times New Roman" w:cs="Times New Roman"/>
          <w:sz w:val="24"/>
          <w:szCs w:val="24"/>
        </w:rPr>
      </w:pPr>
    </w:p>
    <w:p w14:paraId="3F19C72F" w14:textId="49CAEBA5" w:rsidR="00F173BA" w:rsidRPr="001830E6" w:rsidRDefault="00F173BA" w:rsidP="001830E6">
      <w:pPr>
        <w:tabs>
          <w:tab w:val="left" w:pos="6948"/>
        </w:tabs>
        <w:jc w:val="both"/>
        <w:rPr>
          <w:rFonts w:ascii="Times New Roman" w:hAnsi="Times New Roman" w:cs="Times New Roman"/>
          <w:sz w:val="24"/>
          <w:szCs w:val="24"/>
        </w:rPr>
      </w:pPr>
      <w:r w:rsidRPr="001830E6">
        <w:rPr>
          <w:rFonts w:ascii="Times New Roman" w:hAnsi="Times New Roman" w:cs="Times New Roman"/>
          <w:sz w:val="24"/>
          <w:szCs w:val="24"/>
        </w:rPr>
        <w:tab/>
      </w:r>
    </w:p>
    <w:sectPr w:rsidR="00F173BA" w:rsidRPr="001830E6"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F831B" w14:textId="77777777" w:rsidR="009E42DD" w:rsidRDefault="009E42DD" w:rsidP="00702393">
      <w:pPr>
        <w:spacing w:after="0" w:line="240" w:lineRule="auto"/>
      </w:pPr>
      <w:r>
        <w:separator/>
      </w:r>
    </w:p>
  </w:endnote>
  <w:endnote w:type="continuationSeparator" w:id="0">
    <w:p w14:paraId="0FE9563D" w14:textId="77777777" w:rsidR="009E42DD" w:rsidRDefault="009E42D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35142" w14:textId="77777777" w:rsidR="009E42DD" w:rsidRDefault="009E42DD" w:rsidP="00702393">
      <w:pPr>
        <w:spacing w:after="0" w:line="240" w:lineRule="auto"/>
      </w:pPr>
      <w:r>
        <w:separator/>
      </w:r>
    </w:p>
  </w:footnote>
  <w:footnote w:type="continuationSeparator" w:id="0">
    <w:p w14:paraId="16980C91" w14:textId="77777777" w:rsidR="009E42DD" w:rsidRDefault="009E42D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830E6"/>
    <w:rsid w:val="00193E1B"/>
    <w:rsid w:val="001C5801"/>
    <w:rsid w:val="001E7ED8"/>
    <w:rsid w:val="002570B0"/>
    <w:rsid w:val="002A1A72"/>
    <w:rsid w:val="002B659E"/>
    <w:rsid w:val="002B7170"/>
    <w:rsid w:val="00315990"/>
    <w:rsid w:val="00327D34"/>
    <w:rsid w:val="00327E86"/>
    <w:rsid w:val="003929D0"/>
    <w:rsid w:val="00396063"/>
    <w:rsid w:val="003C77EA"/>
    <w:rsid w:val="003E3623"/>
    <w:rsid w:val="00442855"/>
    <w:rsid w:val="00461793"/>
    <w:rsid w:val="00570C7A"/>
    <w:rsid w:val="005A3B78"/>
    <w:rsid w:val="006B0A4D"/>
    <w:rsid w:val="006E2D0A"/>
    <w:rsid w:val="00702393"/>
    <w:rsid w:val="00722D19"/>
    <w:rsid w:val="008A7236"/>
    <w:rsid w:val="008E7DF6"/>
    <w:rsid w:val="008F65BE"/>
    <w:rsid w:val="0091354D"/>
    <w:rsid w:val="00940023"/>
    <w:rsid w:val="0094655E"/>
    <w:rsid w:val="009E42DD"/>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830E6"/>
    <w:rPr>
      <w:color w:val="0563C1" w:themeColor="hyperlink"/>
      <w:u w:val="single"/>
    </w:rPr>
  </w:style>
  <w:style w:type="character" w:styleId="ab">
    <w:name w:val="Unresolved Mention"/>
    <w:basedOn w:val="a0"/>
    <w:uiPriority w:val="99"/>
    <w:semiHidden/>
    <w:unhideWhenUsed/>
    <w:rsid w:val="00183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771</Words>
  <Characters>4396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2021-12-16T13:11:00Z</dcterms:modified>
</cp:coreProperties>
</file>