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97F47" w14:textId="77777777" w:rsidR="000023DA" w:rsidRPr="006C58E5" w:rsidRDefault="002C0F05" w:rsidP="006C58E5">
      <w:pPr>
        <w:jc w:val="center"/>
        <w:rPr>
          <w:rFonts w:ascii="Times New Roman" w:hAnsi="Times New Roman" w:cs="Times New Roman"/>
          <w:b/>
          <w:bCs/>
        </w:rPr>
      </w:pPr>
      <w:r w:rsidRPr="006C58E5">
        <w:rPr>
          <w:rFonts w:ascii="Times New Roman" w:hAnsi="Times New Roman" w:cs="Times New Roman"/>
          <w:b/>
          <w:bCs/>
        </w:rPr>
        <w:t xml:space="preserve">Природный газ, добытый на одном месторождении и закачиваемый обратно в недра того же месторождения, с целью увеличения коэффициента </w:t>
      </w:r>
      <w:proofErr w:type="spellStart"/>
      <w:r w:rsidRPr="006C58E5">
        <w:rPr>
          <w:rFonts w:ascii="Times New Roman" w:hAnsi="Times New Roman" w:cs="Times New Roman"/>
          <w:b/>
          <w:bCs/>
        </w:rPr>
        <w:t>извлекаемости</w:t>
      </w:r>
      <w:proofErr w:type="spellEnd"/>
      <w:r w:rsidRPr="006C58E5">
        <w:rPr>
          <w:rFonts w:ascii="Times New Roman" w:hAnsi="Times New Roman" w:cs="Times New Roman"/>
          <w:b/>
          <w:bCs/>
        </w:rPr>
        <w:t xml:space="preserve"> нефти (далее – КИН), не может признаваться использованным на собственные производственные нужды</w:t>
      </w:r>
    </w:p>
    <w:p w14:paraId="527296C9" w14:textId="77777777" w:rsidR="000023DA" w:rsidRPr="006C58E5" w:rsidRDefault="000023DA" w:rsidP="00A81D5F">
      <w:pPr>
        <w:jc w:val="both"/>
        <w:rPr>
          <w:rFonts w:ascii="Times New Roman" w:hAnsi="Times New Roman" w:cs="Times New Roman"/>
        </w:rPr>
      </w:pPr>
    </w:p>
    <w:p w14:paraId="35CE14A7" w14:textId="77777777" w:rsidR="006C58E5" w:rsidRDefault="000023DA" w:rsidP="006C58E5">
      <w:pPr>
        <w:ind w:firstLine="720"/>
        <w:jc w:val="both"/>
        <w:rPr>
          <w:rFonts w:ascii="Times New Roman" w:hAnsi="Times New Roman" w:cs="Times New Roman"/>
        </w:rPr>
      </w:pPr>
      <w:r w:rsidRPr="006C58E5">
        <w:rPr>
          <w:rFonts w:ascii="Times New Roman" w:hAnsi="Times New Roman" w:cs="Times New Roman"/>
        </w:rPr>
        <w:t xml:space="preserve">В качестве примера можно привести дело по заявлению АО «П» к РГУ «Департамент государственных доходов по Кызылординской области Комитета государственных доходов Министерства финансов Республики Казахстан» об оспаривании уведомления о результатах проверки от 15 апреля 2014 года № 263 в части начисления КПН на сумму 2 675 751 007 тенге и пени в размере 856 700 846 тенге, НСП на сумму 4 774 365 958 тенге и пени в размере 1 659 229 321 тенге. Свои требования Общество мотивировало неправомерностью выводов налогового органа о необходимости отнесения в рамках одного контракта на недропользование к природному газу, использованному на собственные производственные нужды, природного газа, закачиваемого обратно в недра для поддержания пластового давления с целью увеличения КИН. </w:t>
      </w:r>
    </w:p>
    <w:p w14:paraId="63A3A434" w14:textId="77777777" w:rsidR="006C58E5" w:rsidRDefault="000023DA" w:rsidP="006C58E5">
      <w:pPr>
        <w:ind w:firstLine="720"/>
        <w:jc w:val="both"/>
        <w:rPr>
          <w:rFonts w:ascii="Times New Roman" w:hAnsi="Times New Roman" w:cs="Times New Roman"/>
        </w:rPr>
      </w:pPr>
      <w:r w:rsidRPr="006C58E5">
        <w:rPr>
          <w:rFonts w:ascii="Times New Roman" w:hAnsi="Times New Roman" w:cs="Times New Roman"/>
        </w:rPr>
        <w:t xml:space="preserve">Решением специализированного межрайонного экономического суда Кызылординской области от 27 января 2015 года, оставленным без изменения вышестоящими судебными инстанциями, заявление в указанной части удовлетворено. Судом установлено, что Общество осуществляет свою деятельность в Республике Казахстан на основании нескольких контрактов на проведение операций по недропользованию. В соответствии с утвержденными в установленном законодательством о недрах и недропользовании проектными документами на месторождениях </w:t>
      </w:r>
      <w:proofErr w:type="spellStart"/>
      <w:r w:rsidRPr="006C58E5">
        <w:rPr>
          <w:rFonts w:ascii="Times New Roman" w:hAnsi="Times New Roman" w:cs="Times New Roman"/>
        </w:rPr>
        <w:t>Арыскум</w:t>
      </w:r>
      <w:proofErr w:type="spellEnd"/>
      <w:r w:rsidRPr="006C58E5">
        <w:rPr>
          <w:rFonts w:ascii="Times New Roman" w:hAnsi="Times New Roman" w:cs="Times New Roman"/>
        </w:rPr>
        <w:t xml:space="preserve"> и </w:t>
      </w:r>
      <w:proofErr w:type="spellStart"/>
      <w:r w:rsidRPr="006C58E5">
        <w:rPr>
          <w:rFonts w:ascii="Times New Roman" w:hAnsi="Times New Roman" w:cs="Times New Roman"/>
        </w:rPr>
        <w:t>Кумколь</w:t>
      </w:r>
      <w:proofErr w:type="spellEnd"/>
      <w:r w:rsidRPr="006C58E5">
        <w:rPr>
          <w:rFonts w:ascii="Times New Roman" w:hAnsi="Times New Roman" w:cs="Times New Roman"/>
        </w:rPr>
        <w:t xml:space="preserve"> оно производит обратную закачку природного газа в пласт этих месторождений для поддержания пластового давления с целью увеличения КИН. </w:t>
      </w:r>
    </w:p>
    <w:p w14:paraId="6B5EFAC8" w14:textId="52440234" w:rsidR="006C58E5" w:rsidRDefault="000023DA" w:rsidP="006C58E5">
      <w:pPr>
        <w:ind w:firstLine="720"/>
        <w:jc w:val="both"/>
        <w:rPr>
          <w:rFonts w:ascii="Times New Roman" w:hAnsi="Times New Roman" w:cs="Times New Roman"/>
        </w:rPr>
      </w:pPr>
      <w:r w:rsidRPr="006C58E5">
        <w:rPr>
          <w:rFonts w:ascii="Times New Roman" w:hAnsi="Times New Roman" w:cs="Times New Roman"/>
        </w:rPr>
        <w:t xml:space="preserve">При этом Общество по таким операциям доход не определяет, что налоговым органом признано нарушением требований пункта 10 статьи 310 Налогового кодекса. Законодателем в статье 332 Налогового кодекса дано единое для всего 11 </w:t>
      </w:r>
      <w:hyperlink r:id="rId6" w:history="1">
        <w:r w:rsidRPr="00035995">
          <w:rPr>
            <w:rStyle w:val="aa"/>
            <w:rFonts w:ascii="Times New Roman" w:hAnsi="Times New Roman" w:cs="Times New Roman"/>
          </w:rPr>
          <w:t>раздела кодекса, регулирующего вопросы</w:t>
        </w:r>
      </w:hyperlink>
      <w:r w:rsidRPr="006C58E5">
        <w:rPr>
          <w:rFonts w:ascii="Times New Roman" w:hAnsi="Times New Roman" w:cs="Times New Roman"/>
        </w:rPr>
        <w:t xml:space="preserve"> налогообложения недропользователей, определение природного газа, использованного на собственные производственные нужды. Так, в соответствии с подпунктом 5) пункта 2 статьи 332 Налогового кодекса, если иное не установлено настоящим подпунктом, в целях настоящего раздела природным газом, использованным на собственные производственные нужды, признается природный газ,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нефти и газа документами, в том числе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пунктом 4 настоящей статьи. </w:t>
      </w:r>
    </w:p>
    <w:p w14:paraId="4AFAE00C" w14:textId="77777777" w:rsidR="006C58E5" w:rsidRDefault="000023DA" w:rsidP="006C58E5">
      <w:pPr>
        <w:ind w:firstLine="720"/>
        <w:jc w:val="both"/>
        <w:rPr>
          <w:rFonts w:ascii="Times New Roman" w:hAnsi="Times New Roman" w:cs="Times New Roman"/>
        </w:rPr>
      </w:pPr>
      <w:r w:rsidRPr="006C58E5">
        <w:rPr>
          <w:rFonts w:ascii="Times New Roman" w:hAnsi="Times New Roman" w:cs="Times New Roman"/>
        </w:rPr>
        <w:t xml:space="preserve">Пунктом 4 статьи 332 Налогового кодекса определено, что налог на добычу полезных ископаемых не уплачивается по природному газу в объеме, закачиваемом обратно в недра с целью увеличения коэффициента </w:t>
      </w:r>
      <w:proofErr w:type="spellStart"/>
      <w:r w:rsidRPr="006C58E5">
        <w:rPr>
          <w:rFonts w:ascii="Times New Roman" w:hAnsi="Times New Roman" w:cs="Times New Roman"/>
        </w:rPr>
        <w:t>извлекаемости</w:t>
      </w:r>
      <w:proofErr w:type="spellEnd"/>
      <w:r w:rsidRPr="006C58E5">
        <w:rPr>
          <w:rFonts w:ascii="Times New Roman" w:hAnsi="Times New Roman" w:cs="Times New Roman"/>
        </w:rPr>
        <w:t xml:space="preserve"> нефти, предусмотренном утвержденными проектными документами. Ссылаясь на данные нормы, налоговый орган указал, что законодателем запрет наложен только по налогу на добычу полезных ископаемых, но он не распространяется на объект обложения КПН, предусмотренный пунктом 10 статьи 310 Налогового кодекса. Однако выводы налогового органа основаны на неправильном истолковании приведенных норм. </w:t>
      </w:r>
    </w:p>
    <w:p w14:paraId="53A3B5D8" w14:textId="77777777" w:rsidR="006C58E5" w:rsidRDefault="000023DA" w:rsidP="006C58E5">
      <w:pPr>
        <w:ind w:firstLine="720"/>
        <w:jc w:val="both"/>
        <w:rPr>
          <w:rFonts w:ascii="Times New Roman" w:hAnsi="Times New Roman" w:cs="Times New Roman"/>
        </w:rPr>
      </w:pPr>
      <w:r w:rsidRPr="006C58E5">
        <w:rPr>
          <w:rFonts w:ascii="Times New Roman" w:hAnsi="Times New Roman" w:cs="Times New Roman"/>
        </w:rPr>
        <w:t xml:space="preserve">Нормы законодательства должны толковаться в соответствии с буквальным значением их словесного выражения. В силу названных норм в целях раздела 11 Налогового кодекса природным газом, использованным на собственные производственные нужды, признается природный газ, добытый и использованный в рамках одного и того же контракта на недропользование для обратной закачки в недра, за исключением случаев, предусмотренных пунктом 4 статьи 332 Налогового кодекса. К таким случаям законодателем отнесена обратная закачка природного газа в недра с целью увеличения КИН. </w:t>
      </w:r>
    </w:p>
    <w:p w14:paraId="00379CCD" w14:textId="2FAAC4A6" w:rsidR="00A81D5F" w:rsidRPr="006C58E5" w:rsidRDefault="000023DA" w:rsidP="006C58E5">
      <w:pPr>
        <w:ind w:firstLine="720"/>
        <w:jc w:val="both"/>
        <w:rPr>
          <w:rFonts w:ascii="Times New Roman" w:hAnsi="Times New Roman" w:cs="Times New Roman"/>
        </w:rPr>
      </w:pPr>
      <w:r w:rsidRPr="006C58E5">
        <w:rPr>
          <w:rFonts w:ascii="Times New Roman" w:hAnsi="Times New Roman" w:cs="Times New Roman"/>
        </w:rPr>
        <w:t xml:space="preserve">Следовательно, природный газ, добытый на одном месторождении и закачиваемый обратно в недра того же месторождения, с целью увеличения КИН, не может признаваться использованным на собственные производственные нужды. Поэтому по нему не должен определяться доход в целях </w:t>
      </w:r>
      <w:r w:rsidRPr="006C58E5">
        <w:rPr>
          <w:rFonts w:ascii="Times New Roman" w:hAnsi="Times New Roman" w:cs="Times New Roman"/>
        </w:rPr>
        <w:lastRenderedPageBreak/>
        <w:t xml:space="preserve">определения объекта обложения КПН и, соответственно, производиться корректировка по объекту обложения НСП. Судом первой инстанции были исследованы и надлежащим образом оценены доводы налогового органа о том, что обратная закачка газа в пласт с целью увеличения КИН, не предусмотрена проектными документами. </w:t>
      </w:r>
      <w:hyperlink r:id="rId7" w:history="1">
        <w:r w:rsidRPr="006C58E5">
          <w:rPr>
            <w:rStyle w:val="aa"/>
            <w:rFonts w:ascii="Times New Roman" w:hAnsi="Times New Roman" w:cs="Times New Roman"/>
          </w:rPr>
          <w:t>Суд на основании совокупности представленных</w:t>
        </w:r>
      </w:hyperlink>
      <w:r w:rsidRPr="006C58E5">
        <w:rPr>
          <w:rFonts w:ascii="Times New Roman" w:hAnsi="Times New Roman" w:cs="Times New Roman"/>
        </w:rPr>
        <w:t xml:space="preserve"> доказательств установил, что закачка газа на месторождениях </w:t>
      </w:r>
      <w:proofErr w:type="spellStart"/>
      <w:r w:rsidRPr="006C58E5">
        <w:rPr>
          <w:rFonts w:ascii="Times New Roman" w:hAnsi="Times New Roman" w:cs="Times New Roman"/>
        </w:rPr>
        <w:t>Арыскум</w:t>
      </w:r>
      <w:proofErr w:type="spellEnd"/>
      <w:r w:rsidRPr="006C58E5">
        <w:rPr>
          <w:rFonts w:ascii="Times New Roman" w:hAnsi="Times New Roman" w:cs="Times New Roman"/>
        </w:rPr>
        <w:t xml:space="preserve"> и </w:t>
      </w:r>
      <w:proofErr w:type="spellStart"/>
      <w:r w:rsidRPr="006C58E5">
        <w:rPr>
          <w:rFonts w:ascii="Times New Roman" w:hAnsi="Times New Roman" w:cs="Times New Roman"/>
        </w:rPr>
        <w:t>Кумколь</w:t>
      </w:r>
      <w:proofErr w:type="spellEnd"/>
      <w:r w:rsidRPr="006C58E5">
        <w:rPr>
          <w:rFonts w:ascii="Times New Roman" w:hAnsi="Times New Roman" w:cs="Times New Roman"/>
        </w:rPr>
        <w:t xml:space="preserve"> осуществляется согласно утвержденным проектным документам с целью поддержания пластового давления для увеличения КИН.</w:t>
      </w:r>
      <w:r w:rsidR="00CF5BD5" w:rsidRPr="006C58E5">
        <w:rPr>
          <w:rFonts w:ascii="Times New Roman" w:hAnsi="Times New Roman" w:cs="Times New Roman"/>
        </w:rPr>
        <w:t xml:space="preserve"> </w:t>
      </w:r>
    </w:p>
    <w:p w14:paraId="7EA7FA65" w14:textId="0D3DEF47" w:rsidR="00F173BA" w:rsidRPr="006C58E5" w:rsidRDefault="00F173BA" w:rsidP="002570B0">
      <w:pPr>
        <w:rPr>
          <w:rFonts w:ascii="Times New Roman" w:hAnsi="Times New Roman" w:cs="Times New Roman"/>
        </w:rPr>
      </w:pPr>
    </w:p>
    <w:p w14:paraId="1C113091" w14:textId="5A80DFE0" w:rsidR="00F173BA" w:rsidRPr="006C58E5" w:rsidRDefault="00F173BA" w:rsidP="002570B0">
      <w:pPr>
        <w:rPr>
          <w:rFonts w:ascii="Times New Roman" w:hAnsi="Times New Roman" w:cs="Times New Roman"/>
        </w:rPr>
      </w:pPr>
    </w:p>
    <w:p w14:paraId="1D196CDE" w14:textId="737247FA" w:rsidR="00F173BA" w:rsidRPr="006C58E5" w:rsidRDefault="00F173BA" w:rsidP="002570B0">
      <w:pPr>
        <w:rPr>
          <w:rFonts w:ascii="Times New Roman" w:hAnsi="Times New Roman" w:cs="Times New Roman"/>
        </w:rPr>
      </w:pPr>
    </w:p>
    <w:p w14:paraId="02403F08" w14:textId="75BEB719" w:rsidR="00F173BA" w:rsidRPr="006C58E5" w:rsidRDefault="00F173BA" w:rsidP="002570B0">
      <w:pPr>
        <w:rPr>
          <w:rFonts w:ascii="Times New Roman" w:hAnsi="Times New Roman" w:cs="Times New Roman"/>
        </w:rPr>
      </w:pPr>
    </w:p>
    <w:p w14:paraId="308325D5" w14:textId="324F2E94" w:rsidR="00F173BA" w:rsidRPr="006C58E5" w:rsidRDefault="00F173BA" w:rsidP="002570B0">
      <w:pPr>
        <w:rPr>
          <w:rFonts w:ascii="Times New Roman" w:hAnsi="Times New Roman" w:cs="Times New Roman"/>
        </w:rPr>
      </w:pPr>
    </w:p>
    <w:p w14:paraId="22BAA135" w14:textId="6CC745FE" w:rsidR="00F173BA" w:rsidRPr="006C58E5" w:rsidRDefault="00F173BA" w:rsidP="002570B0">
      <w:pPr>
        <w:rPr>
          <w:rFonts w:ascii="Times New Roman" w:hAnsi="Times New Roman" w:cs="Times New Roman"/>
        </w:rPr>
      </w:pPr>
    </w:p>
    <w:p w14:paraId="33D51603" w14:textId="10BA4AEF" w:rsidR="00F173BA" w:rsidRPr="006C58E5" w:rsidRDefault="00F173BA" w:rsidP="002570B0">
      <w:pPr>
        <w:rPr>
          <w:rFonts w:ascii="Times New Roman" w:hAnsi="Times New Roman" w:cs="Times New Roman"/>
        </w:rPr>
      </w:pPr>
    </w:p>
    <w:p w14:paraId="55D95E22" w14:textId="0EFD17BF" w:rsidR="00F173BA" w:rsidRPr="006C58E5" w:rsidRDefault="00F173BA" w:rsidP="002570B0">
      <w:pPr>
        <w:rPr>
          <w:rFonts w:ascii="Times New Roman" w:hAnsi="Times New Roman" w:cs="Times New Roman"/>
        </w:rPr>
      </w:pPr>
    </w:p>
    <w:p w14:paraId="1E84A240" w14:textId="61513D00" w:rsidR="00F173BA" w:rsidRPr="006C58E5" w:rsidRDefault="00F173BA" w:rsidP="002570B0">
      <w:pPr>
        <w:rPr>
          <w:rFonts w:ascii="Times New Roman" w:hAnsi="Times New Roman" w:cs="Times New Roman"/>
        </w:rPr>
      </w:pPr>
    </w:p>
    <w:p w14:paraId="049E1B58" w14:textId="408BB97D" w:rsidR="00F173BA" w:rsidRPr="006C58E5" w:rsidRDefault="00F173BA" w:rsidP="002570B0">
      <w:pPr>
        <w:rPr>
          <w:rFonts w:ascii="Times New Roman" w:hAnsi="Times New Roman" w:cs="Times New Roman"/>
        </w:rPr>
      </w:pPr>
    </w:p>
    <w:p w14:paraId="3F19C72F" w14:textId="49CAEBA5" w:rsidR="00F173BA" w:rsidRPr="006C58E5" w:rsidRDefault="00F173BA" w:rsidP="00F173BA">
      <w:pPr>
        <w:tabs>
          <w:tab w:val="left" w:pos="6948"/>
        </w:tabs>
        <w:rPr>
          <w:rFonts w:ascii="Times New Roman" w:hAnsi="Times New Roman" w:cs="Times New Roman"/>
        </w:rPr>
      </w:pPr>
      <w:r w:rsidRPr="006C58E5">
        <w:rPr>
          <w:rFonts w:ascii="Times New Roman" w:hAnsi="Times New Roman" w:cs="Times New Roman"/>
        </w:rPr>
        <w:tab/>
      </w:r>
    </w:p>
    <w:sectPr w:rsidR="00F173BA" w:rsidRPr="006C58E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023DA"/>
    <w:rsid w:val="00017580"/>
    <w:rsid w:val="00035995"/>
    <w:rsid w:val="00083357"/>
    <w:rsid w:val="00102D7B"/>
    <w:rsid w:val="00152128"/>
    <w:rsid w:val="001539CF"/>
    <w:rsid w:val="00193E1B"/>
    <w:rsid w:val="001C5801"/>
    <w:rsid w:val="001E7ED8"/>
    <w:rsid w:val="002570B0"/>
    <w:rsid w:val="002A1A72"/>
    <w:rsid w:val="002B659E"/>
    <w:rsid w:val="002C0F05"/>
    <w:rsid w:val="00315990"/>
    <w:rsid w:val="00327D34"/>
    <w:rsid w:val="00327E86"/>
    <w:rsid w:val="00396063"/>
    <w:rsid w:val="003C77EA"/>
    <w:rsid w:val="003E3623"/>
    <w:rsid w:val="00442855"/>
    <w:rsid w:val="00461793"/>
    <w:rsid w:val="005A3B78"/>
    <w:rsid w:val="006B0A4D"/>
    <w:rsid w:val="006C58E5"/>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C58E5"/>
    <w:rPr>
      <w:color w:val="0563C1" w:themeColor="hyperlink"/>
      <w:u w:val="single"/>
    </w:rPr>
  </w:style>
  <w:style w:type="character" w:styleId="ab">
    <w:name w:val="Unresolved Mention"/>
    <w:basedOn w:val="a0"/>
    <w:uiPriority w:val="99"/>
    <w:semiHidden/>
    <w:unhideWhenUsed/>
    <w:rsid w:val="006C5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717</Words>
  <Characters>4092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2021-10-15T16:46:00Z</dcterms:modified>
</cp:coreProperties>
</file>