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A7FA65" w14:textId="699A6715" w:rsidR="00F173BA" w:rsidRPr="00B60F6C" w:rsidRDefault="00B60F6C" w:rsidP="00B60F6C">
      <w:pPr>
        <w:jc w:val="center"/>
        <w:rPr>
          <w:rFonts w:ascii="Times New Roman" w:hAnsi="Times New Roman" w:cs="Times New Roman"/>
          <w:b/>
          <w:bCs/>
          <w:sz w:val="24"/>
          <w:szCs w:val="24"/>
        </w:rPr>
      </w:pPr>
      <w:r w:rsidRPr="00B60F6C">
        <w:rPr>
          <w:rFonts w:ascii="Times New Roman" w:hAnsi="Times New Roman" w:cs="Times New Roman"/>
          <w:b/>
          <w:bCs/>
          <w:sz w:val="24"/>
          <w:szCs w:val="24"/>
        </w:rPr>
        <w:t>П</w:t>
      </w:r>
      <w:r w:rsidRPr="00B60F6C">
        <w:rPr>
          <w:rFonts w:ascii="Times New Roman" w:hAnsi="Times New Roman" w:cs="Times New Roman"/>
          <w:b/>
          <w:bCs/>
          <w:sz w:val="24"/>
          <w:szCs w:val="24"/>
        </w:rPr>
        <w:t>ривлечен</w:t>
      </w:r>
      <w:r w:rsidRPr="00B60F6C">
        <w:rPr>
          <w:rFonts w:ascii="Times New Roman" w:hAnsi="Times New Roman" w:cs="Times New Roman"/>
          <w:b/>
          <w:bCs/>
          <w:sz w:val="24"/>
          <w:szCs w:val="24"/>
        </w:rPr>
        <w:t>ие</w:t>
      </w:r>
      <w:r w:rsidRPr="00B60F6C">
        <w:rPr>
          <w:rFonts w:ascii="Times New Roman" w:hAnsi="Times New Roman" w:cs="Times New Roman"/>
          <w:b/>
          <w:bCs/>
          <w:sz w:val="24"/>
          <w:szCs w:val="24"/>
        </w:rPr>
        <w:t xml:space="preserve"> к административной ответственности</w:t>
      </w:r>
      <w:r w:rsidRPr="00B60F6C">
        <w:rPr>
          <w:rFonts w:ascii="Times New Roman" w:hAnsi="Times New Roman" w:cs="Times New Roman"/>
          <w:b/>
          <w:bCs/>
          <w:sz w:val="24"/>
          <w:szCs w:val="24"/>
        </w:rPr>
        <w:t xml:space="preserve"> </w:t>
      </w:r>
      <w:r w:rsidRPr="00B60F6C">
        <w:rPr>
          <w:rFonts w:ascii="Times New Roman" w:hAnsi="Times New Roman" w:cs="Times New Roman"/>
          <w:b/>
          <w:bCs/>
          <w:sz w:val="24"/>
          <w:szCs w:val="24"/>
        </w:rPr>
        <w:t>с наложением административного штрафа</w:t>
      </w:r>
    </w:p>
    <w:p w14:paraId="1B8B7266" w14:textId="77777777" w:rsidR="00FF4FC7" w:rsidRDefault="00F31FBC" w:rsidP="00FF4FC7">
      <w:pPr>
        <w:ind w:firstLine="720"/>
        <w:jc w:val="both"/>
        <w:rPr>
          <w:rFonts w:ascii="Times New Roman" w:hAnsi="Times New Roman" w:cs="Times New Roman"/>
          <w:sz w:val="24"/>
          <w:szCs w:val="24"/>
        </w:rPr>
      </w:pPr>
      <w:r w:rsidRPr="00FF4FC7">
        <w:rPr>
          <w:rFonts w:ascii="Times New Roman" w:hAnsi="Times New Roman" w:cs="Times New Roman"/>
          <w:sz w:val="24"/>
          <w:szCs w:val="24"/>
        </w:rPr>
        <w:t xml:space="preserve">Постановлением САС города Актобе от 10 февраля 2017 года, оставленным без изменения постановлением Актюбинского областного суд от 9 марта 2017 года, ИП «К» привлечена к административной ответственности по части 2 статьи 159 КоАП с наложением административного штрафа в размере 141 678 тенге и конфискацией монопольного дохода в размере 1 485 090 тенге. Постановлением Верховного Суда от 16 ноября 2017 года судебные акты отменены с прекращением производства по делу за отсутствием состава административного правонарушения. </w:t>
      </w:r>
    </w:p>
    <w:p w14:paraId="3F00CE11" w14:textId="77777777" w:rsidR="00FF4FC7" w:rsidRDefault="00F31FBC" w:rsidP="00FF4FC7">
      <w:pPr>
        <w:ind w:firstLine="720"/>
        <w:jc w:val="both"/>
        <w:rPr>
          <w:rFonts w:ascii="Times New Roman" w:hAnsi="Times New Roman" w:cs="Times New Roman"/>
          <w:sz w:val="24"/>
          <w:szCs w:val="24"/>
        </w:rPr>
      </w:pPr>
      <w:r w:rsidRPr="00FF4FC7">
        <w:rPr>
          <w:rFonts w:ascii="Times New Roman" w:hAnsi="Times New Roman" w:cs="Times New Roman"/>
          <w:sz w:val="24"/>
          <w:szCs w:val="24"/>
        </w:rPr>
        <w:t xml:space="preserve">Как следует из материалов дела, ИП «К» совместно с другими субъектами рынка, совокупная доля которых составляет 73,8%, согласовано установила и поддерживала розничную цену на сжиженный нефтяной газ на уровне </w:t>
      </w:r>
      <w:proofErr w:type="gramStart"/>
      <w:r w:rsidRPr="00FF4FC7">
        <w:rPr>
          <w:rFonts w:ascii="Times New Roman" w:hAnsi="Times New Roman" w:cs="Times New Roman"/>
          <w:sz w:val="24"/>
          <w:szCs w:val="24"/>
        </w:rPr>
        <w:t>44-45</w:t>
      </w:r>
      <w:proofErr w:type="gramEnd"/>
      <w:r w:rsidRPr="00FF4FC7">
        <w:rPr>
          <w:rFonts w:ascii="Times New Roman" w:hAnsi="Times New Roman" w:cs="Times New Roman"/>
          <w:sz w:val="24"/>
          <w:szCs w:val="24"/>
        </w:rPr>
        <w:t xml:space="preserve"> тенге в период с 1 сентября 2016 года по 14 ноября 2016 года. Протокол составлен 9 января 2017 года. Отменяя судебные акты, Верховный суд указал, что уполномоченным органом не представлены доказательства, свидетельствующие о согласованных действиях субъекта. Так, согласно подпункту 6) пункта 2 статьи 174 ПК минимальная величина доли одного субъекта рынка на соответствующем товарном рынке должна составлять пять и более процентов. </w:t>
      </w:r>
    </w:p>
    <w:p w14:paraId="7BA38A0F" w14:textId="77777777" w:rsidR="00FF4FC7" w:rsidRDefault="00F31FBC" w:rsidP="00FF4FC7">
      <w:pPr>
        <w:ind w:firstLine="720"/>
        <w:jc w:val="both"/>
        <w:rPr>
          <w:rFonts w:ascii="Times New Roman" w:hAnsi="Times New Roman" w:cs="Times New Roman"/>
          <w:sz w:val="24"/>
          <w:szCs w:val="24"/>
        </w:rPr>
      </w:pPr>
      <w:r w:rsidRPr="00FF4FC7">
        <w:rPr>
          <w:rFonts w:ascii="Times New Roman" w:hAnsi="Times New Roman" w:cs="Times New Roman"/>
          <w:sz w:val="24"/>
          <w:szCs w:val="24"/>
        </w:rPr>
        <w:t xml:space="preserve">Расчеты доли каждого субъекта рынка не представлены, а доля ИП «К» не превышает и двух процентов. Более того, квалификация действий ИП «К» судом неправомерно осуществлена в рамках действия положений пунктов 1, 2 статьи 174 ПК в редакции, действовавшей до 1 января 2017 года, тогда как вопрос о привлечении ее к административной ответственности </w:t>
      </w:r>
      <w:proofErr w:type="spellStart"/>
      <w:r w:rsidRPr="00FF4FC7">
        <w:rPr>
          <w:rFonts w:ascii="Times New Roman" w:hAnsi="Times New Roman" w:cs="Times New Roman"/>
          <w:sz w:val="24"/>
          <w:szCs w:val="24"/>
        </w:rPr>
        <w:t>производствопо</w:t>
      </w:r>
      <w:proofErr w:type="spellEnd"/>
      <w:r w:rsidRPr="00FF4FC7">
        <w:rPr>
          <w:rFonts w:ascii="Times New Roman" w:hAnsi="Times New Roman" w:cs="Times New Roman"/>
          <w:sz w:val="24"/>
          <w:szCs w:val="24"/>
        </w:rPr>
        <w:t xml:space="preserve"> делу об административном правонарушении возбуждено после 1 января 2017 года. Для признания действий субъектов рынка согласованными по пункту 2 статьи 174 ПК необходимо установление всей совокупности условий. </w:t>
      </w:r>
    </w:p>
    <w:p w14:paraId="7A1F2C4E" w14:textId="77777777" w:rsidR="00FF4FC7" w:rsidRDefault="00F31FBC" w:rsidP="00FF4FC7">
      <w:pPr>
        <w:ind w:firstLine="720"/>
        <w:jc w:val="both"/>
        <w:rPr>
          <w:rFonts w:ascii="Times New Roman" w:hAnsi="Times New Roman" w:cs="Times New Roman"/>
          <w:sz w:val="24"/>
          <w:szCs w:val="24"/>
        </w:rPr>
      </w:pPr>
      <w:r w:rsidRPr="00FF4FC7">
        <w:rPr>
          <w:rFonts w:ascii="Times New Roman" w:hAnsi="Times New Roman" w:cs="Times New Roman"/>
          <w:sz w:val="24"/>
          <w:szCs w:val="24"/>
        </w:rPr>
        <w:t xml:space="preserve">Для градации субъектов предпринимательства по категориям при наложении административного взыскания используются два критерия: 1) среднегодовая численность работников и 2) среднегодовой доход. Постановлением САС города Актобе от 15 декабря 2016 года, оставленным без изменения постановлением судебной коллегии по гражданским делам Актюбинского областного суда от 20 января 2016 года ТОО «Р» привлечен к административной ответственности по части 2 статьи 159 КоАП и подвергнут к административному взысканию в виде штрафа в размере пяти процентов от дохода, полученного в результате осуществления монополистической деятельности на сумму 11 263 892 тенге в доход государства, с конфискацией монопольного дохода, полученного в результате осуществления монополистической деятельности. </w:t>
      </w:r>
    </w:p>
    <w:p w14:paraId="5599AE30" w14:textId="77777777" w:rsidR="00FF4FC7" w:rsidRDefault="00F31FBC" w:rsidP="00FF4FC7">
      <w:pPr>
        <w:ind w:firstLine="720"/>
        <w:jc w:val="both"/>
        <w:rPr>
          <w:rFonts w:ascii="Times New Roman" w:hAnsi="Times New Roman" w:cs="Times New Roman"/>
          <w:sz w:val="24"/>
          <w:szCs w:val="24"/>
        </w:rPr>
      </w:pPr>
      <w:r w:rsidRPr="00FF4FC7">
        <w:rPr>
          <w:rFonts w:ascii="Times New Roman" w:hAnsi="Times New Roman" w:cs="Times New Roman"/>
          <w:sz w:val="24"/>
          <w:szCs w:val="24"/>
        </w:rPr>
        <w:t xml:space="preserve">Постановлением Верховного Суда от 12 октября 2017 года судебные акты отменены с направлением дела на новое рассмотрение в САС города Актобе в ином составе судей. Судом первой инстанции установлено несоблюдение запретов, предусмотренных подпунктом 1) пункта 1 статьи 170 ПК. Согласно пункту 1 статьи 170 ПК (в редакции на момент вынесения постановления САС) запрещаются согласованные действия субъектов рынка, осуществляющих производство, реализацию товаров, направленные на ограничение конкуренции, в том числе касающиеся установления и (или) поддержания цен либо других условий приобретения или реализации товаров. </w:t>
      </w:r>
    </w:p>
    <w:p w14:paraId="6AFE117C" w14:textId="77777777" w:rsidR="00FF4FC7" w:rsidRDefault="00F31FBC" w:rsidP="00FF4FC7">
      <w:pPr>
        <w:ind w:firstLine="720"/>
        <w:jc w:val="both"/>
        <w:rPr>
          <w:rFonts w:ascii="Times New Roman" w:hAnsi="Times New Roman" w:cs="Times New Roman"/>
          <w:sz w:val="24"/>
          <w:szCs w:val="24"/>
        </w:rPr>
      </w:pPr>
      <w:r w:rsidRPr="00FF4FC7">
        <w:rPr>
          <w:rFonts w:ascii="Times New Roman" w:hAnsi="Times New Roman" w:cs="Times New Roman"/>
          <w:sz w:val="24"/>
          <w:szCs w:val="24"/>
        </w:rPr>
        <w:t xml:space="preserve">В соответствии с пунктом 2 статьи 170 ПК ( в редакции на момент вынесения постановления САС) действия субъектов рынка, указанные в пункте 1 настоящей статьи, могут быть признаны согласованными, если они удовлетворяют в совокупности следующим </w:t>
      </w:r>
      <w:r w:rsidRPr="00FF4FC7">
        <w:rPr>
          <w:rFonts w:ascii="Times New Roman" w:hAnsi="Times New Roman" w:cs="Times New Roman"/>
          <w:sz w:val="24"/>
          <w:szCs w:val="24"/>
        </w:rPr>
        <w:lastRenderedPageBreak/>
        <w:t xml:space="preserve">условиям: 1) результат таких действий соответствует интересам каждого из субъектов рынка; 2) действия субъектов рынка заранее известны каждому из них; 3) действия каждого из указанных субъектов рынка вызваны действиями иных субъектов рынка, участвующих в согласованных действиях, и не являются следствием обстоятельств, в равной мере влияющих на данные субъекты рынка; 4) совокупная доля участвующих в них субъектов рынка на соответствующем товарном рынке составляет тридцать пять и более процентов. </w:t>
      </w:r>
    </w:p>
    <w:p w14:paraId="6662DDB1" w14:textId="77777777" w:rsidR="00FF4FC7" w:rsidRDefault="00F31FBC" w:rsidP="00FF4FC7">
      <w:pPr>
        <w:ind w:firstLine="720"/>
        <w:jc w:val="both"/>
        <w:rPr>
          <w:rFonts w:ascii="Times New Roman" w:hAnsi="Times New Roman" w:cs="Times New Roman"/>
          <w:sz w:val="24"/>
          <w:szCs w:val="24"/>
        </w:rPr>
      </w:pPr>
      <w:r w:rsidRPr="00FF4FC7">
        <w:rPr>
          <w:rFonts w:ascii="Times New Roman" w:hAnsi="Times New Roman" w:cs="Times New Roman"/>
          <w:sz w:val="24"/>
          <w:szCs w:val="24"/>
        </w:rPr>
        <w:t xml:space="preserve">Таким образом, для признания действий субъектов рынка согласованными необходимо установление всей совокупности условий. Отменяя судебные акты местных судов, Верховный Суд установил, что уполномоченным органом при рассмотрении дела не представлены доказательства о том, что совокупная доля участвующих в них субъектов рынка на соответствующем товарном рынке составляет тридцать пять и более процентов, а судами данный вопрос не был зафиксирован в качестве предмета исследования и оценки. </w:t>
      </w:r>
    </w:p>
    <w:p w14:paraId="15B32CE1" w14:textId="77777777" w:rsidR="00FF4FC7" w:rsidRDefault="00F31FBC" w:rsidP="00FF4FC7">
      <w:pPr>
        <w:ind w:firstLine="720"/>
        <w:jc w:val="both"/>
        <w:rPr>
          <w:rFonts w:ascii="Times New Roman" w:hAnsi="Times New Roman" w:cs="Times New Roman"/>
          <w:sz w:val="24"/>
          <w:szCs w:val="24"/>
        </w:rPr>
      </w:pPr>
      <w:r w:rsidRPr="00FF4FC7">
        <w:rPr>
          <w:rFonts w:ascii="Times New Roman" w:hAnsi="Times New Roman" w:cs="Times New Roman"/>
          <w:sz w:val="24"/>
          <w:szCs w:val="24"/>
        </w:rPr>
        <w:t xml:space="preserve">Таким образом, вопрос о совершении административного правонарушения судом не выяснен. Согласно части 1 статьи 55 КоАП административное взыскание за административное правонарушение налагается в пределах, предусмотренных в статье Особенной части настоящего раздела за данное административное правонарушение, в точном соответствии с положениями настоящего Кодекса. Санкцией части 2 статьи 159 КоАП предусмотрено взыскание административного штрафа в зависимости от категории субъекта предпринимательства. При наложении административного взыскания судам следует определить категорию субъекта предпринимательства и размер дохода (выручки), полученного в результате осуществления монополистической деятельности. </w:t>
      </w:r>
    </w:p>
    <w:p w14:paraId="07A6907F" w14:textId="0FBE6506" w:rsidR="00FF4FC7" w:rsidRDefault="00F31FBC" w:rsidP="00FF4FC7">
      <w:pPr>
        <w:ind w:firstLine="720"/>
        <w:jc w:val="both"/>
        <w:rPr>
          <w:rFonts w:ascii="Times New Roman" w:hAnsi="Times New Roman" w:cs="Times New Roman"/>
          <w:sz w:val="24"/>
          <w:szCs w:val="24"/>
        </w:rPr>
      </w:pPr>
      <w:r w:rsidRPr="00FF4FC7">
        <w:rPr>
          <w:rFonts w:ascii="Times New Roman" w:hAnsi="Times New Roman" w:cs="Times New Roman"/>
          <w:sz w:val="24"/>
          <w:szCs w:val="24"/>
        </w:rPr>
        <w:t xml:space="preserve">В соответствии с пунктом 1 статьи 24 ПК в зависимости от среднегодовой численности работников и среднегодового дохода субъекты предпринимательства относятся к следующим категориям: субъекты малого предпринимательства, в том числе субъекты микропредпринимательства, субъекты среднего предпринимательства, субъекты крупного предпринимательства. Предпринимательский кодекс определяет и цели, с учетом которых используется градация субъектов предпринимательства по категориям. При этом для целей государственной статистики используется только критерий среднегодовой численности работников, </w:t>
      </w:r>
      <w:hyperlink r:id="rId6" w:history="1">
        <w:r w:rsidRPr="00BB26D7">
          <w:rPr>
            <w:rStyle w:val="aa"/>
            <w:rFonts w:ascii="Times New Roman" w:hAnsi="Times New Roman" w:cs="Times New Roman"/>
            <w:sz w:val="24"/>
            <w:szCs w:val="24"/>
          </w:rPr>
          <w:t>тогда как для применения иных норм законодательства, к которым относится и</w:t>
        </w:r>
      </w:hyperlink>
      <w:r w:rsidRPr="00FF4FC7">
        <w:rPr>
          <w:rFonts w:ascii="Times New Roman" w:hAnsi="Times New Roman" w:cs="Times New Roman"/>
          <w:sz w:val="24"/>
          <w:szCs w:val="24"/>
        </w:rPr>
        <w:t xml:space="preserve"> наложение административного взыскания, используются два критерия: 1) среднегодовая численность работников и 2) среднегодовой доход. </w:t>
      </w:r>
    </w:p>
    <w:p w14:paraId="155659C7" w14:textId="77777777" w:rsidR="00FF4FC7" w:rsidRDefault="00F31FBC" w:rsidP="00FF4FC7">
      <w:pPr>
        <w:ind w:firstLine="720"/>
        <w:jc w:val="both"/>
        <w:rPr>
          <w:rFonts w:ascii="Times New Roman" w:hAnsi="Times New Roman" w:cs="Times New Roman"/>
          <w:sz w:val="24"/>
          <w:szCs w:val="24"/>
        </w:rPr>
      </w:pPr>
      <w:r w:rsidRPr="00FF4FC7">
        <w:rPr>
          <w:rFonts w:ascii="Times New Roman" w:hAnsi="Times New Roman" w:cs="Times New Roman"/>
          <w:sz w:val="24"/>
          <w:szCs w:val="24"/>
        </w:rPr>
        <w:t>Постановлением Правительства Республики Казахстан от 28 декабря 2015 года № 1091 утверждены «Правила ведения и использования реестра субъектов предпринимательства» (далее – Правила). Согласно пункту 3 Правил определение категории субъектов предпринимательства осуществляется в соответствии с критериями и их пороговыми значениями, указанными в статье 24 Кодекса, а также правилами расчета среднегодовой численности работников и среднегодового дохода субъектов предпринимательства, утверждаемыми Правительством Республики Казахстан. Первоначально формирование реестра осуществляется уполномоченным органом по предпринимательству.</w:t>
      </w:r>
      <w:r w:rsidR="009B5B68" w:rsidRPr="00FF4FC7">
        <w:rPr>
          <w:rFonts w:ascii="Times New Roman" w:hAnsi="Times New Roman" w:cs="Times New Roman"/>
          <w:sz w:val="24"/>
          <w:szCs w:val="24"/>
        </w:rPr>
        <w:t xml:space="preserve"> </w:t>
      </w:r>
    </w:p>
    <w:p w14:paraId="34EC1A6C" w14:textId="77777777" w:rsidR="00FF4FC7" w:rsidRDefault="009B5B68" w:rsidP="00FF4FC7">
      <w:pPr>
        <w:ind w:firstLine="720"/>
        <w:jc w:val="both"/>
        <w:rPr>
          <w:rFonts w:ascii="Times New Roman" w:hAnsi="Times New Roman" w:cs="Times New Roman"/>
          <w:sz w:val="24"/>
          <w:szCs w:val="24"/>
        </w:rPr>
      </w:pPr>
      <w:r w:rsidRPr="00FF4FC7">
        <w:rPr>
          <w:rFonts w:ascii="Times New Roman" w:hAnsi="Times New Roman" w:cs="Times New Roman"/>
          <w:sz w:val="24"/>
          <w:szCs w:val="24"/>
        </w:rPr>
        <w:t>В соответствии с пунктом 16 Правил реестр является основным источником данных о категории субъектов предпринимательства для любых заинтересованных лиц, в том числе государственных органов. При исчислении размера штрафа суд отнес ТОО «Рамазан» к субъектам крупного предпринимательства. При определении категории субъекта судами использованы данные органов статистики, для которых юридическое значение имеет только численность работников, сведения указанных органов не могут быть использованы судами при наложении административного взыскания.</w:t>
      </w:r>
    </w:p>
    <w:p w14:paraId="0719D2DA" w14:textId="0E338770" w:rsidR="00FF4FC7" w:rsidRDefault="009B5B68" w:rsidP="00FF4FC7">
      <w:pPr>
        <w:ind w:firstLine="720"/>
        <w:jc w:val="both"/>
        <w:rPr>
          <w:rFonts w:ascii="Times New Roman" w:hAnsi="Times New Roman" w:cs="Times New Roman"/>
          <w:sz w:val="24"/>
          <w:szCs w:val="24"/>
        </w:rPr>
      </w:pPr>
      <w:r w:rsidRPr="00FF4FC7">
        <w:rPr>
          <w:rFonts w:ascii="Times New Roman" w:hAnsi="Times New Roman" w:cs="Times New Roman"/>
          <w:sz w:val="24"/>
          <w:szCs w:val="24"/>
        </w:rPr>
        <w:lastRenderedPageBreak/>
        <w:t xml:space="preserve"> Следовательно, судами допущена ошибка при применении законодательства, регулирующего наложение административного взыскания. При новом рассмотрении постановлением САС города Актобе от 12 декабря 2017 года производство по делу прекращено за отсутствием в действиях ТОО «Р» состава административного правонарушения. Судам следует иметь в виду, что положения статьи 24 ПК регулируют следующие вопросы: 1) категории субъектов предпринимательства; 2) критерии, являющиеся основаниями для их разграничения; 3) для каких целей используется градация. При привлечении к административной ответственности отнесение субъекта к той или иной категории </w:t>
      </w:r>
      <w:hyperlink r:id="rId7" w:history="1">
        <w:r w:rsidRPr="00FF4FC7">
          <w:rPr>
            <w:rStyle w:val="aa"/>
            <w:rFonts w:ascii="Times New Roman" w:hAnsi="Times New Roman" w:cs="Times New Roman"/>
            <w:sz w:val="24"/>
            <w:szCs w:val="24"/>
          </w:rPr>
          <w:t>осуществляется с учетом цели применения иных норм законодательства</w:t>
        </w:r>
      </w:hyperlink>
      <w:r w:rsidRPr="00FF4FC7">
        <w:rPr>
          <w:rFonts w:ascii="Times New Roman" w:hAnsi="Times New Roman" w:cs="Times New Roman"/>
          <w:sz w:val="24"/>
          <w:szCs w:val="24"/>
        </w:rPr>
        <w:t xml:space="preserve"> Республики Казахстан. </w:t>
      </w:r>
    </w:p>
    <w:p w14:paraId="30F11097" w14:textId="60BE7EF8" w:rsidR="00F76CE7" w:rsidRPr="00FF4FC7" w:rsidRDefault="009B5B68" w:rsidP="00FF4FC7">
      <w:pPr>
        <w:ind w:firstLine="720"/>
        <w:jc w:val="both"/>
        <w:rPr>
          <w:rFonts w:ascii="Times New Roman" w:hAnsi="Times New Roman" w:cs="Times New Roman"/>
          <w:sz w:val="24"/>
          <w:szCs w:val="24"/>
        </w:rPr>
      </w:pPr>
      <w:r w:rsidRPr="00FF4FC7">
        <w:rPr>
          <w:rFonts w:ascii="Times New Roman" w:hAnsi="Times New Roman" w:cs="Times New Roman"/>
          <w:sz w:val="24"/>
          <w:szCs w:val="24"/>
        </w:rPr>
        <w:t>При решении вопроса об отнесении правонарушителя к той или иной категории субъектов юридическое значение наряду с критериями, указанными в пункте 3 статьи 24 ПК, имеют и положения пункта 4 статьи 24 ПК, содержащего исключения из общего правила определения субъекта малого предпринимательства, занимающегося специфическим видом деятельности, в том числе производством и (или) оптовой реализацией подакцизной продукции.</w:t>
      </w:r>
    </w:p>
    <w:p w14:paraId="1C113091" w14:textId="5A80DFE0" w:rsidR="00F173BA" w:rsidRPr="00FF4FC7" w:rsidRDefault="00F173BA" w:rsidP="00FF4FC7">
      <w:pPr>
        <w:jc w:val="both"/>
        <w:rPr>
          <w:rFonts w:ascii="Times New Roman" w:hAnsi="Times New Roman" w:cs="Times New Roman"/>
          <w:sz w:val="24"/>
          <w:szCs w:val="24"/>
        </w:rPr>
      </w:pPr>
    </w:p>
    <w:p w14:paraId="1D196CDE" w14:textId="737247FA" w:rsidR="00F173BA" w:rsidRPr="00FF4FC7" w:rsidRDefault="00F173BA" w:rsidP="00FF4FC7">
      <w:pPr>
        <w:jc w:val="both"/>
        <w:rPr>
          <w:rFonts w:ascii="Times New Roman" w:hAnsi="Times New Roman" w:cs="Times New Roman"/>
          <w:sz w:val="24"/>
          <w:szCs w:val="24"/>
        </w:rPr>
      </w:pPr>
    </w:p>
    <w:p w14:paraId="02403F08" w14:textId="75BEB719" w:rsidR="00F173BA" w:rsidRPr="00FF4FC7" w:rsidRDefault="00F173BA" w:rsidP="00FF4FC7">
      <w:pPr>
        <w:jc w:val="both"/>
        <w:rPr>
          <w:rFonts w:ascii="Times New Roman" w:hAnsi="Times New Roman" w:cs="Times New Roman"/>
          <w:sz w:val="24"/>
          <w:szCs w:val="24"/>
        </w:rPr>
      </w:pPr>
    </w:p>
    <w:p w14:paraId="308325D5" w14:textId="324F2E94" w:rsidR="00F173BA" w:rsidRPr="00FF4FC7" w:rsidRDefault="00F173BA" w:rsidP="00FF4FC7">
      <w:pPr>
        <w:jc w:val="both"/>
        <w:rPr>
          <w:rFonts w:ascii="Times New Roman" w:hAnsi="Times New Roman" w:cs="Times New Roman"/>
          <w:sz w:val="24"/>
          <w:szCs w:val="24"/>
        </w:rPr>
      </w:pPr>
    </w:p>
    <w:p w14:paraId="22BAA135" w14:textId="6CC745FE" w:rsidR="00F173BA" w:rsidRPr="00FF4FC7" w:rsidRDefault="00F173BA" w:rsidP="00FF4FC7">
      <w:pPr>
        <w:jc w:val="both"/>
        <w:rPr>
          <w:rFonts w:ascii="Times New Roman" w:hAnsi="Times New Roman" w:cs="Times New Roman"/>
          <w:sz w:val="24"/>
          <w:szCs w:val="24"/>
        </w:rPr>
      </w:pPr>
    </w:p>
    <w:p w14:paraId="33D51603" w14:textId="10BA4AEF" w:rsidR="00F173BA" w:rsidRPr="00FF4FC7" w:rsidRDefault="00F173BA" w:rsidP="00FF4FC7">
      <w:pPr>
        <w:jc w:val="both"/>
        <w:rPr>
          <w:rFonts w:ascii="Times New Roman" w:hAnsi="Times New Roman" w:cs="Times New Roman"/>
          <w:sz w:val="24"/>
          <w:szCs w:val="24"/>
        </w:rPr>
      </w:pPr>
    </w:p>
    <w:p w14:paraId="55D95E22" w14:textId="0EFD17BF" w:rsidR="00F173BA" w:rsidRPr="00FF4FC7" w:rsidRDefault="00F173BA" w:rsidP="00FF4FC7">
      <w:pPr>
        <w:jc w:val="both"/>
        <w:rPr>
          <w:rFonts w:ascii="Times New Roman" w:hAnsi="Times New Roman" w:cs="Times New Roman"/>
          <w:sz w:val="24"/>
          <w:szCs w:val="24"/>
        </w:rPr>
      </w:pPr>
    </w:p>
    <w:p w14:paraId="1E84A240" w14:textId="61513D00" w:rsidR="00F173BA" w:rsidRPr="00FF4FC7" w:rsidRDefault="00F173BA" w:rsidP="00FF4FC7">
      <w:pPr>
        <w:jc w:val="both"/>
        <w:rPr>
          <w:rFonts w:ascii="Times New Roman" w:hAnsi="Times New Roman" w:cs="Times New Roman"/>
          <w:sz w:val="24"/>
          <w:szCs w:val="24"/>
        </w:rPr>
      </w:pPr>
    </w:p>
    <w:p w14:paraId="049E1B58" w14:textId="408BB97D" w:rsidR="00F173BA" w:rsidRPr="00FF4FC7" w:rsidRDefault="00F173BA" w:rsidP="00FF4FC7">
      <w:pPr>
        <w:jc w:val="both"/>
        <w:rPr>
          <w:rFonts w:ascii="Times New Roman" w:hAnsi="Times New Roman" w:cs="Times New Roman"/>
          <w:sz w:val="24"/>
          <w:szCs w:val="24"/>
        </w:rPr>
      </w:pPr>
    </w:p>
    <w:p w14:paraId="3F19C72F" w14:textId="49CAEBA5" w:rsidR="00F173BA" w:rsidRPr="00FF4FC7" w:rsidRDefault="00F173BA" w:rsidP="00FF4FC7">
      <w:pPr>
        <w:tabs>
          <w:tab w:val="left" w:pos="6948"/>
        </w:tabs>
        <w:jc w:val="both"/>
        <w:rPr>
          <w:rFonts w:ascii="Times New Roman" w:hAnsi="Times New Roman" w:cs="Times New Roman"/>
          <w:sz w:val="24"/>
          <w:szCs w:val="24"/>
        </w:rPr>
      </w:pPr>
      <w:r w:rsidRPr="00FF4FC7">
        <w:rPr>
          <w:rFonts w:ascii="Times New Roman" w:hAnsi="Times New Roman" w:cs="Times New Roman"/>
          <w:sz w:val="24"/>
          <w:szCs w:val="24"/>
        </w:rPr>
        <w:tab/>
      </w:r>
    </w:p>
    <w:sectPr w:rsidR="00F173BA" w:rsidRPr="00FF4FC7"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258005" w14:textId="77777777" w:rsidR="006166A4" w:rsidRDefault="006166A4" w:rsidP="00702393">
      <w:pPr>
        <w:spacing w:after="0" w:line="240" w:lineRule="auto"/>
      </w:pPr>
      <w:r>
        <w:separator/>
      </w:r>
    </w:p>
  </w:endnote>
  <w:endnote w:type="continuationSeparator" w:id="0">
    <w:p w14:paraId="71AA4BA0" w14:textId="77777777" w:rsidR="006166A4" w:rsidRDefault="006166A4"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7171C2" w14:textId="77777777" w:rsidR="006166A4" w:rsidRDefault="006166A4" w:rsidP="00702393">
      <w:pPr>
        <w:spacing w:after="0" w:line="240" w:lineRule="auto"/>
      </w:pPr>
      <w:r>
        <w:separator/>
      </w:r>
    </w:p>
  </w:footnote>
  <w:footnote w:type="continuationSeparator" w:id="0">
    <w:p w14:paraId="7C8074A1" w14:textId="77777777" w:rsidR="006166A4" w:rsidRDefault="006166A4"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52128"/>
    <w:rsid w:val="001539CF"/>
    <w:rsid w:val="00193E1B"/>
    <w:rsid w:val="001C5801"/>
    <w:rsid w:val="001E7ED8"/>
    <w:rsid w:val="002570B0"/>
    <w:rsid w:val="002A1A72"/>
    <w:rsid w:val="002B659E"/>
    <w:rsid w:val="00315990"/>
    <w:rsid w:val="00327D34"/>
    <w:rsid w:val="00327E86"/>
    <w:rsid w:val="00396063"/>
    <w:rsid w:val="003C77EA"/>
    <w:rsid w:val="003E3623"/>
    <w:rsid w:val="00442855"/>
    <w:rsid w:val="00461793"/>
    <w:rsid w:val="005A3B78"/>
    <w:rsid w:val="006166A4"/>
    <w:rsid w:val="006B0A4D"/>
    <w:rsid w:val="006E2D0A"/>
    <w:rsid w:val="00702393"/>
    <w:rsid w:val="00722D19"/>
    <w:rsid w:val="008A7236"/>
    <w:rsid w:val="008E7DF6"/>
    <w:rsid w:val="0091354D"/>
    <w:rsid w:val="00940023"/>
    <w:rsid w:val="0094655E"/>
    <w:rsid w:val="009B5B68"/>
    <w:rsid w:val="009E6904"/>
    <w:rsid w:val="00A23573"/>
    <w:rsid w:val="00A45B15"/>
    <w:rsid w:val="00A81D5F"/>
    <w:rsid w:val="00B31BDB"/>
    <w:rsid w:val="00B60F6C"/>
    <w:rsid w:val="00BB26D7"/>
    <w:rsid w:val="00BD7730"/>
    <w:rsid w:val="00C16D9C"/>
    <w:rsid w:val="00CB275A"/>
    <w:rsid w:val="00CF5BD5"/>
    <w:rsid w:val="00D02DFB"/>
    <w:rsid w:val="00DB660C"/>
    <w:rsid w:val="00EE78AD"/>
    <w:rsid w:val="00F173BA"/>
    <w:rsid w:val="00F31FBC"/>
    <w:rsid w:val="00F76CE7"/>
    <w:rsid w:val="00F96E54"/>
    <w:rsid w:val="00FE608D"/>
    <w:rsid w:val="00FF4F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FF4FC7"/>
    <w:rPr>
      <w:color w:val="0563C1" w:themeColor="hyperlink"/>
      <w:u w:val="single"/>
    </w:rPr>
  </w:style>
  <w:style w:type="character" w:styleId="ab">
    <w:name w:val="Unresolved Mention"/>
    <w:basedOn w:val="a0"/>
    <w:uiPriority w:val="99"/>
    <w:semiHidden/>
    <w:unhideWhenUsed/>
    <w:rsid w:val="00FF4F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ok.ru/group/5936961323025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3</Pages>
  <Words>1251</Words>
  <Characters>7131</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37</cp:revision>
  <cp:lastPrinted>2021-08-17T09:04:00Z</cp:lastPrinted>
  <dcterms:created xsi:type="dcterms:W3CDTF">2021-08-13T09:00:00Z</dcterms:created>
  <dcterms:modified xsi:type="dcterms:W3CDTF">2021-12-15T09:52:00Z</dcterms:modified>
</cp:coreProperties>
</file>